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8A" w:rsidRDefault="004F5B8A" w:rsidP="00FA4E0E">
      <w:pPr>
        <w:pStyle w:val="Title"/>
      </w:pPr>
      <w:bookmarkStart w:id="0" w:name="_GoBack"/>
      <w:bookmarkEnd w:id="0"/>
      <w:r w:rsidRPr="00D76D5C">
        <w:t>IN THE CONSTITUTIONAL COURT OF SOUTH AFRICA</w:t>
      </w:r>
    </w:p>
    <w:p w:rsidR="00F84A39" w:rsidRPr="00F84A39" w:rsidRDefault="00F84A39" w:rsidP="00F84A39">
      <w:pPr>
        <w:jc w:val="center"/>
        <w:rPr>
          <w:b/>
        </w:rPr>
      </w:pPr>
      <w:r w:rsidRPr="00F84A39">
        <w:rPr>
          <w:b/>
        </w:rPr>
        <w:t>HELD AT BRAAMFONTEIN</w:t>
      </w:r>
    </w:p>
    <w:p w:rsidR="004F5B8A" w:rsidRPr="00D76D5C" w:rsidRDefault="004F5B8A" w:rsidP="004F5B8A">
      <w:pPr>
        <w:pStyle w:val="WWBodyText"/>
        <w:tabs>
          <w:tab w:val="left" w:pos="5387"/>
          <w:tab w:val="right" w:pos="8504"/>
        </w:tabs>
        <w:spacing w:before="480" w:after="0"/>
        <w:ind w:left="5387" w:hanging="5812"/>
        <w:jc w:val="left"/>
        <w:rPr>
          <w:rFonts w:cs="Arial"/>
        </w:rPr>
      </w:pPr>
      <w:r w:rsidRPr="00D76D5C">
        <w:rPr>
          <w:rFonts w:cs="Arial"/>
          <w:b/>
        </w:rPr>
        <w:tab/>
        <w:t xml:space="preserve">CASE NO:  </w:t>
      </w:r>
      <w:r w:rsidRPr="00D76D5C">
        <w:rPr>
          <w:rFonts w:cs="Arial"/>
          <w:b/>
        </w:rPr>
        <w:tab/>
        <w:t>CCT</w:t>
      </w:r>
      <w:r w:rsidR="00FA4E0E" w:rsidRPr="00D76D5C">
        <w:rPr>
          <w:rFonts w:cs="Arial"/>
          <w:b/>
        </w:rPr>
        <w:t>315/16 &amp; CCT 193/17</w:t>
      </w:r>
    </w:p>
    <w:p w:rsidR="00D67CC0" w:rsidRDefault="00D67CC0" w:rsidP="004F5B8A">
      <w:pPr>
        <w:pStyle w:val="WWBodyText"/>
        <w:spacing w:before="240"/>
        <w:rPr>
          <w:rFonts w:cs="Arial"/>
        </w:rPr>
      </w:pPr>
      <w:r>
        <w:rPr>
          <w:rFonts w:cs="Arial"/>
        </w:rPr>
        <w:t>In the matter between:</w:t>
      </w:r>
    </w:p>
    <w:p w:rsidR="00D67CC0" w:rsidRDefault="00D67CC0" w:rsidP="004F5B8A">
      <w:pPr>
        <w:pStyle w:val="WWBodyText"/>
        <w:spacing w:before="240"/>
        <w:rPr>
          <w:rFonts w:cs="Arial"/>
        </w:rPr>
      </w:pPr>
      <w:r w:rsidRPr="00D76D5C">
        <w:rPr>
          <w:rFonts w:cs="Arial"/>
          <w:b/>
        </w:rPr>
        <w:t xml:space="preserve">SOUTHERN AFRICA LITIGATION CENTRE </w:t>
      </w:r>
      <w:r>
        <w:rPr>
          <w:rFonts w:cs="Arial"/>
          <w:b/>
        </w:rPr>
        <w:tab/>
      </w:r>
      <w:r>
        <w:rPr>
          <w:rFonts w:cs="Arial"/>
          <w:b/>
        </w:rPr>
        <w:tab/>
      </w:r>
      <w:r>
        <w:rPr>
          <w:rFonts w:cs="Arial"/>
          <w:b/>
        </w:rPr>
        <w:tab/>
      </w:r>
      <w:r>
        <w:rPr>
          <w:rFonts w:cs="Arial"/>
          <w:b/>
        </w:rPr>
        <w:tab/>
      </w:r>
      <w:r w:rsidRPr="00710F11">
        <w:rPr>
          <w:rFonts w:cs="Arial"/>
        </w:rPr>
        <w:t>Amicus Curiae</w:t>
      </w:r>
    </w:p>
    <w:p w:rsidR="004F5B8A" w:rsidRPr="00D76D5C" w:rsidRDefault="00D67CC0" w:rsidP="004F5B8A">
      <w:pPr>
        <w:pStyle w:val="WWBodyText"/>
        <w:spacing w:before="240"/>
        <w:rPr>
          <w:rFonts w:cs="Arial"/>
        </w:rPr>
      </w:pPr>
      <w:r>
        <w:rPr>
          <w:rFonts w:cs="Arial"/>
        </w:rPr>
        <w:t xml:space="preserve">To intervene as an amicus curiae </w:t>
      </w:r>
      <w:r w:rsidR="00873F65">
        <w:rPr>
          <w:rFonts w:cs="Arial"/>
        </w:rPr>
        <w:t>i</w:t>
      </w:r>
      <w:r w:rsidR="00873F65" w:rsidRPr="00D76D5C">
        <w:rPr>
          <w:rFonts w:cs="Arial"/>
        </w:rPr>
        <w:t xml:space="preserve">n </w:t>
      </w:r>
      <w:r w:rsidR="004F5B8A" w:rsidRPr="00D76D5C">
        <w:rPr>
          <w:rFonts w:cs="Arial"/>
        </w:rPr>
        <w:t>the matter between:</w:t>
      </w:r>
    </w:p>
    <w:tbl>
      <w:tblPr>
        <w:tblW w:w="8721" w:type="dxa"/>
        <w:tblLayout w:type="fixed"/>
        <w:tblLook w:val="04A0" w:firstRow="1" w:lastRow="0" w:firstColumn="1" w:lastColumn="0" w:noHBand="0" w:noVBand="1"/>
      </w:tblPr>
      <w:tblGrid>
        <w:gridCol w:w="5920"/>
        <w:gridCol w:w="2801"/>
      </w:tblGrid>
      <w:tr w:rsidR="004F5B8A" w:rsidRPr="00D76D5C" w:rsidTr="004F5B8A">
        <w:trPr>
          <w:trHeight w:val="283"/>
        </w:trPr>
        <w:tc>
          <w:tcPr>
            <w:tcW w:w="5920" w:type="dxa"/>
            <w:shd w:val="clear" w:color="auto" w:fill="auto"/>
          </w:tcPr>
          <w:p w:rsidR="004F5B8A" w:rsidRPr="00D76D5C" w:rsidRDefault="00FA4E0E" w:rsidP="004F5B8A">
            <w:pPr>
              <w:tabs>
                <w:tab w:val="right" w:pos="8505"/>
              </w:tabs>
              <w:rPr>
                <w:rFonts w:cs="Arial"/>
                <w:b/>
              </w:rPr>
            </w:pPr>
            <w:r w:rsidRPr="00D76D5C">
              <w:rPr>
                <w:rFonts w:cs="Arial"/>
                <w:b/>
              </w:rPr>
              <w:t>THE STATE</w:t>
            </w:r>
          </w:p>
        </w:tc>
        <w:tc>
          <w:tcPr>
            <w:tcW w:w="2801" w:type="dxa"/>
            <w:shd w:val="clear" w:color="auto" w:fill="auto"/>
          </w:tcPr>
          <w:p w:rsidR="004F5B8A" w:rsidRPr="00D76D5C" w:rsidRDefault="004F5B8A" w:rsidP="004F5B8A">
            <w:pPr>
              <w:tabs>
                <w:tab w:val="right" w:pos="8505"/>
              </w:tabs>
              <w:jc w:val="right"/>
              <w:rPr>
                <w:rFonts w:cs="Arial"/>
                <w:szCs w:val="22"/>
              </w:rPr>
            </w:pPr>
            <w:r w:rsidRPr="00D76D5C">
              <w:rPr>
                <w:rFonts w:cs="Arial"/>
                <w:szCs w:val="22"/>
              </w:rPr>
              <w:t>Applicant</w:t>
            </w:r>
          </w:p>
        </w:tc>
      </w:tr>
    </w:tbl>
    <w:p w:rsidR="004F5B8A" w:rsidRPr="00D76D5C" w:rsidRDefault="004F5B8A" w:rsidP="004F5B8A">
      <w:pPr>
        <w:pStyle w:val="WWBodyText"/>
        <w:spacing w:before="360"/>
        <w:rPr>
          <w:rFonts w:cs="Arial"/>
        </w:rPr>
      </w:pPr>
      <w:r w:rsidRPr="00D76D5C">
        <w:rPr>
          <w:rFonts w:cs="Arial"/>
        </w:rPr>
        <w:t>and</w:t>
      </w:r>
    </w:p>
    <w:tbl>
      <w:tblPr>
        <w:tblW w:w="8721" w:type="dxa"/>
        <w:tblLayout w:type="fixed"/>
        <w:tblLook w:val="04A0" w:firstRow="1" w:lastRow="0" w:firstColumn="1" w:lastColumn="0" w:noHBand="0" w:noVBand="1"/>
      </w:tblPr>
      <w:tblGrid>
        <w:gridCol w:w="5920"/>
        <w:gridCol w:w="2801"/>
      </w:tblGrid>
      <w:tr w:rsidR="004F5B8A" w:rsidRPr="00D76D5C" w:rsidTr="004F5B8A">
        <w:tc>
          <w:tcPr>
            <w:tcW w:w="5920" w:type="dxa"/>
            <w:shd w:val="clear" w:color="auto" w:fill="auto"/>
          </w:tcPr>
          <w:p w:rsidR="004F5B8A" w:rsidRPr="00D76D5C" w:rsidRDefault="00FA4E0E" w:rsidP="004F5B8A">
            <w:pPr>
              <w:tabs>
                <w:tab w:val="right" w:pos="8505"/>
              </w:tabs>
              <w:rPr>
                <w:rFonts w:cs="Arial"/>
                <w:b/>
              </w:rPr>
            </w:pPr>
            <w:r w:rsidRPr="00D76D5C">
              <w:rPr>
                <w:rFonts w:cs="Arial"/>
                <w:b/>
              </w:rPr>
              <w:t>HENRY EMOMOTIMI OKAH</w:t>
            </w:r>
          </w:p>
        </w:tc>
        <w:tc>
          <w:tcPr>
            <w:tcW w:w="2801" w:type="dxa"/>
            <w:shd w:val="clear" w:color="auto" w:fill="auto"/>
          </w:tcPr>
          <w:p w:rsidR="004F5B8A" w:rsidRPr="00D76D5C" w:rsidRDefault="004F5B8A" w:rsidP="004F5B8A">
            <w:pPr>
              <w:tabs>
                <w:tab w:val="right" w:pos="8505"/>
              </w:tabs>
              <w:jc w:val="right"/>
              <w:rPr>
                <w:rFonts w:cs="Arial"/>
                <w:szCs w:val="22"/>
              </w:rPr>
            </w:pPr>
            <w:r w:rsidRPr="00D76D5C">
              <w:rPr>
                <w:rFonts w:cs="Arial"/>
                <w:szCs w:val="22"/>
              </w:rPr>
              <w:t>Respondent</w:t>
            </w:r>
          </w:p>
        </w:tc>
      </w:tr>
    </w:tbl>
    <w:p w:rsidR="004F5B8A" w:rsidRPr="00D76D5C" w:rsidRDefault="004F5B8A" w:rsidP="004F5B8A">
      <w:pPr>
        <w:rPr>
          <w:rFonts w:cs="Arial"/>
        </w:rPr>
      </w:pPr>
    </w:p>
    <w:p w:rsidR="00FA4E0E" w:rsidRPr="00D76D5C" w:rsidRDefault="00FA4E0E" w:rsidP="00FA4E0E">
      <w:pPr>
        <w:pStyle w:val="WWBodyText"/>
        <w:spacing w:before="240"/>
        <w:rPr>
          <w:rFonts w:cs="Arial"/>
        </w:rPr>
      </w:pPr>
      <w:r w:rsidRPr="00D76D5C">
        <w:rPr>
          <w:rFonts w:cs="Arial"/>
        </w:rPr>
        <w:t>In the matter between:</w:t>
      </w:r>
    </w:p>
    <w:tbl>
      <w:tblPr>
        <w:tblW w:w="8721" w:type="dxa"/>
        <w:tblLayout w:type="fixed"/>
        <w:tblLook w:val="04A0" w:firstRow="1" w:lastRow="0" w:firstColumn="1" w:lastColumn="0" w:noHBand="0" w:noVBand="1"/>
      </w:tblPr>
      <w:tblGrid>
        <w:gridCol w:w="5920"/>
        <w:gridCol w:w="2801"/>
      </w:tblGrid>
      <w:tr w:rsidR="00FA4E0E" w:rsidRPr="00D76D5C" w:rsidTr="004F5B8A">
        <w:trPr>
          <w:trHeight w:val="283"/>
        </w:trPr>
        <w:tc>
          <w:tcPr>
            <w:tcW w:w="5920" w:type="dxa"/>
            <w:shd w:val="clear" w:color="auto" w:fill="auto"/>
          </w:tcPr>
          <w:p w:rsidR="00FA4E0E" w:rsidRPr="00D76D5C" w:rsidRDefault="00FA4E0E" w:rsidP="004F5B8A">
            <w:pPr>
              <w:tabs>
                <w:tab w:val="right" w:pos="8505"/>
              </w:tabs>
              <w:rPr>
                <w:rFonts w:cs="Arial"/>
                <w:b/>
              </w:rPr>
            </w:pPr>
            <w:r w:rsidRPr="00D76D5C">
              <w:rPr>
                <w:rFonts w:cs="Arial"/>
                <w:b/>
              </w:rPr>
              <w:t>HENRY EMOMOTIMI OKAH</w:t>
            </w:r>
          </w:p>
        </w:tc>
        <w:tc>
          <w:tcPr>
            <w:tcW w:w="2801" w:type="dxa"/>
            <w:shd w:val="clear" w:color="auto" w:fill="auto"/>
          </w:tcPr>
          <w:p w:rsidR="00FA4E0E" w:rsidRPr="00D76D5C" w:rsidRDefault="00FA4E0E" w:rsidP="004F5B8A">
            <w:pPr>
              <w:tabs>
                <w:tab w:val="right" w:pos="8505"/>
              </w:tabs>
              <w:jc w:val="right"/>
              <w:rPr>
                <w:rFonts w:cs="Arial"/>
                <w:szCs w:val="22"/>
              </w:rPr>
            </w:pPr>
            <w:r w:rsidRPr="00D76D5C">
              <w:rPr>
                <w:rFonts w:cs="Arial"/>
                <w:szCs w:val="22"/>
              </w:rPr>
              <w:t>Applicant</w:t>
            </w:r>
          </w:p>
        </w:tc>
      </w:tr>
    </w:tbl>
    <w:p w:rsidR="00FA4E0E" w:rsidRPr="00D76D5C" w:rsidRDefault="00FA4E0E" w:rsidP="00FA4E0E">
      <w:pPr>
        <w:pStyle w:val="WWBodyText"/>
        <w:spacing w:before="360"/>
        <w:rPr>
          <w:rFonts w:cs="Arial"/>
        </w:rPr>
      </w:pPr>
      <w:r w:rsidRPr="00D76D5C">
        <w:rPr>
          <w:rFonts w:cs="Arial"/>
        </w:rPr>
        <w:t>and</w:t>
      </w:r>
    </w:p>
    <w:tbl>
      <w:tblPr>
        <w:tblW w:w="8721" w:type="dxa"/>
        <w:tblLayout w:type="fixed"/>
        <w:tblLook w:val="04A0" w:firstRow="1" w:lastRow="0" w:firstColumn="1" w:lastColumn="0" w:noHBand="0" w:noVBand="1"/>
      </w:tblPr>
      <w:tblGrid>
        <w:gridCol w:w="5920"/>
        <w:gridCol w:w="2801"/>
      </w:tblGrid>
      <w:tr w:rsidR="00FA4E0E" w:rsidRPr="00D76D5C" w:rsidTr="004F5B8A">
        <w:tc>
          <w:tcPr>
            <w:tcW w:w="5920" w:type="dxa"/>
            <w:shd w:val="clear" w:color="auto" w:fill="auto"/>
          </w:tcPr>
          <w:p w:rsidR="00FA4E0E" w:rsidRPr="00D76D5C" w:rsidRDefault="00FA4E0E" w:rsidP="004F5B8A">
            <w:pPr>
              <w:tabs>
                <w:tab w:val="right" w:pos="8505"/>
              </w:tabs>
              <w:rPr>
                <w:rFonts w:cs="Arial"/>
                <w:b/>
              </w:rPr>
            </w:pPr>
            <w:r w:rsidRPr="00D76D5C">
              <w:rPr>
                <w:rFonts w:cs="Arial"/>
                <w:b/>
              </w:rPr>
              <w:t>THE STATE</w:t>
            </w:r>
          </w:p>
          <w:p w:rsidR="00FA4E0E" w:rsidRPr="00D76D5C" w:rsidRDefault="00FA4E0E" w:rsidP="004F5B8A">
            <w:pPr>
              <w:tabs>
                <w:tab w:val="right" w:pos="8505"/>
              </w:tabs>
              <w:rPr>
                <w:rFonts w:cs="Arial"/>
                <w:b/>
              </w:rPr>
            </w:pPr>
          </w:p>
        </w:tc>
        <w:tc>
          <w:tcPr>
            <w:tcW w:w="2801" w:type="dxa"/>
            <w:shd w:val="clear" w:color="auto" w:fill="auto"/>
          </w:tcPr>
          <w:p w:rsidR="00FA4E0E" w:rsidRPr="00D76D5C" w:rsidRDefault="00FA4E0E" w:rsidP="004F5B8A">
            <w:pPr>
              <w:tabs>
                <w:tab w:val="right" w:pos="8505"/>
              </w:tabs>
              <w:jc w:val="right"/>
              <w:rPr>
                <w:rFonts w:cs="Arial"/>
                <w:szCs w:val="22"/>
              </w:rPr>
            </w:pPr>
            <w:r w:rsidRPr="00D76D5C">
              <w:rPr>
                <w:rFonts w:cs="Arial"/>
                <w:szCs w:val="22"/>
              </w:rPr>
              <w:t>Respondent</w:t>
            </w:r>
          </w:p>
        </w:tc>
      </w:tr>
    </w:tbl>
    <w:p w:rsidR="00FA4E0E" w:rsidRPr="00D76D5C" w:rsidRDefault="00FA4E0E" w:rsidP="004F5B8A">
      <w:pPr>
        <w:pBdr>
          <w:bottom w:val="single" w:sz="4" w:space="1" w:color="auto"/>
        </w:pBdr>
        <w:spacing w:before="360" w:after="240"/>
        <w:jc w:val="both"/>
        <w:rPr>
          <w:rFonts w:cs="Arial"/>
        </w:rPr>
      </w:pPr>
    </w:p>
    <w:p w:rsidR="00D67CC0" w:rsidRDefault="00FA4E0E" w:rsidP="00D67CC0">
      <w:pPr>
        <w:jc w:val="center"/>
        <w:rPr>
          <w:rFonts w:cs="Arial"/>
          <w:b/>
        </w:rPr>
      </w:pPr>
      <w:r w:rsidRPr="00D76D5C">
        <w:rPr>
          <w:rFonts w:cs="Arial"/>
          <w:b/>
        </w:rPr>
        <w:t xml:space="preserve">WRITTEN SUBMISSIONS FOR THE </w:t>
      </w:r>
      <w:r w:rsidRPr="00D76D5C">
        <w:rPr>
          <w:rFonts w:cs="Arial"/>
          <w:b/>
          <w:i/>
        </w:rPr>
        <w:t>AMICUS CURIAE</w:t>
      </w:r>
    </w:p>
    <w:p w:rsidR="00AA04D2" w:rsidRPr="00D76D5C" w:rsidRDefault="00FA4E0E" w:rsidP="00710F11">
      <w:pPr>
        <w:jc w:val="center"/>
        <w:rPr>
          <w:rFonts w:cs="Arial"/>
          <w:b/>
        </w:rPr>
      </w:pPr>
      <w:r w:rsidRPr="00D76D5C">
        <w:rPr>
          <w:rFonts w:cs="Arial"/>
          <w:b/>
        </w:rPr>
        <w:t>SOUTHERN AFRICA LITIGATION CENTRE</w:t>
      </w:r>
      <w:r w:rsidR="003C3CEF">
        <w:rPr>
          <w:rFonts w:cs="Arial"/>
          <w:b/>
        </w:rPr>
        <w:t xml:space="preserve"> (“SALC”)</w:t>
      </w:r>
    </w:p>
    <w:p w:rsidR="00D67CC0" w:rsidRPr="00D76D5C" w:rsidRDefault="00D67CC0" w:rsidP="00710F11">
      <w:pPr>
        <w:pBdr>
          <w:bottom w:val="single" w:sz="4" w:space="1" w:color="auto"/>
        </w:pBdr>
        <w:spacing w:after="240"/>
        <w:jc w:val="both"/>
        <w:rPr>
          <w:rFonts w:cs="Arial"/>
        </w:rPr>
      </w:pPr>
      <w:bookmarkStart w:id="1" w:name="_Toc430172051"/>
      <w:bookmarkStart w:id="2" w:name="_Toc483834633"/>
    </w:p>
    <w:p w:rsidR="00D67CC0" w:rsidRDefault="00D67CC0" w:rsidP="00AC769A">
      <w:pPr>
        <w:pStyle w:val="WWBodyText"/>
        <w:keepNext/>
        <w:rPr>
          <w:rFonts w:cs="Arial"/>
          <w:b/>
        </w:rPr>
      </w:pPr>
    </w:p>
    <w:p w:rsidR="00AC769A" w:rsidRPr="00D76D5C" w:rsidRDefault="00AC769A" w:rsidP="00AC769A">
      <w:pPr>
        <w:pStyle w:val="WWBodyText"/>
        <w:keepNext/>
        <w:rPr>
          <w:rFonts w:cs="Arial"/>
          <w:b/>
        </w:rPr>
      </w:pPr>
      <w:r w:rsidRPr="00D76D5C">
        <w:rPr>
          <w:rFonts w:cs="Arial"/>
          <w:b/>
        </w:rPr>
        <w:t>INTRODUCTION</w:t>
      </w:r>
      <w:bookmarkEnd w:id="1"/>
      <w:bookmarkEnd w:id="2"/>
    </w:p>
    <w:p w:rsidR="00AC769A" w:rsidRPr="00D76D5C" w:rsidRDefault="003C3CEF" w:rsidP="00710F11">
      <w:pPr>
        <w:pStyle w:val="WWList1"/>
        <w:rPr>
          <w:rFonts w:cs="Arial"/>
          <w:lang w:val="en-US"/>
        </w:rPr>
      </w:pPr>
      <w:r>
        <w:rPr>
          <w:rFonts w:cs="Arial"/>
        </w:rPr>
        <w:t>These submissions are made pursuant to the Chief Justice’s direction of</w:t>
      </w:r>
      <w:r w:rsidR="00AC769A" w:rsidRPr="00D76D5C">
        <w:rPr>
          <w:rFonts w:cs="Arial"/>
        </w:rPr>
        <w:t xml:space="preserve"> </w:t>
      </w:r>
      <w:r w:rsidR="00AC769A" w:rsidRPr="00710F11">
        <w:rPr>
          <w:rFonts w:cs="Arial"/>
          <w:u w:val="single"/>
        </w:rPr>
        <w:t>15 November 2017</w:t>
      </w:r>
      <w:r>
        <w:rPr>
          <w:rFonts w:cs="Arial"/>
        </w:rPr>
        <w:t xml:space="preserve">. </w:t>
      </w:r>
      <w:r w:rsidRPr="00D76D5C">
        <w:rPr>
          <w:rFonts w:cs="Arial"/>
        </w:rPr>
        <w:t xml:space="preserve"> </w:t>
      </w:r>
      <w:r>
        <w:rPr>
          <w:rFonts w:cs="Arial"/>
        </w:rPr>
        <w:t>In focusing on</w:t>
      </w:r>
      <w:r w:rsidR="00AC769A" w:rsidRPr="00D76D5C">
        <w:rPr>
          <w:rFonts w:cs="Arial"/>
          <w:lang w:val="en-US"/>
        </w:rPr>
        <w:t xml:space="preserve"> </w:t>
      </w:r>
      <w:r>
        <w:rPr>
          <w:rFonts w:cs="Arial"/>
          <w:lang w:val="en-US"/>
        </w:rPr>
        <w:t xml:space="preserve">the proper interpretation of </w:t>
      </w:r>
      <w:r w:rsidR="00AC769A" w:rsidRPr="00D76D5C">
        <w:rPr>
          <w:rFonts w:cs="Arial"/>
          <w:lang w:val="en-US"/>
        </w:rPr>
        <w:t xml:space="preserve">section </w:t>
      </w:r>
      <w:r w:rsidR="00AC769A" w:rsidRPr="00D76D5C">
        <w:rPr>
          <w:rFonts w:cs="Arial"/>
          <w:lang w:val="en-US"/>
        </w:rPr>
        <w:lastRenderedPageBreak/>
        <w:t>1(4) of the Protection of Constitutional Democracy Against Terrorism and Related Activities Act 33 of 2004 (</w:t>
      </w:r>
      <w:r>
        <w:rPr>
          <w:rFonts w:cs="Arial"/>
        </w:rPr>
        <w:t>“</w:t>
      </w:r>
      <w:r w:rsidR="00AC769A" w:rsidRPr="00710F11">
        <w:rPr>
          <w:rFonts w:cs="Arial"/>
          <w:b/>
        </w:rPr>
        <w:t>Terrorism Act</w:t>
      </w:r>
      <w:r>
        <w:rPr>
          <w:rFonts w:cs="Arial"/>
        </w:rPr>
        <w:t>”</w:t>
      </w:r>
      <w:r w:rsidR="00AC769A" w:rsidRPr="00D76D5C">
        <w:rPr>
          <w:rFonts w:cs="Arial"/>
        </w:rPr>
        <w:t>)</w:t>
      </w:r>
      <w:r>
        <w:rPr>
          <w:rFonts w:cs="Arial"/>
        </w:rPr>
        <w:t xml:space="preserve">, SALC submits that </w:t>
      </w:r>
      <w:r w:rsidR="00AC769A" w:rsidRPr="00D76D5C">
        <w:rPr>
          <w:rFonts w:cs="Arial"/>
          <w:lang w:val="en-US"/>
        </w:rPr>
        <w:t xml:space="preserve"> </w:t>
      </w:r>
      <w:r>
        <w:rPr>
          <w:rFonts w:cs="Arial"/>
          <w:lang w:val="en-US"/>
        </w:rPr>
        <w:t xml:space="preserve">the defence of Mr Okah – namely that he committed acts of terrorism </w:t>
      </w:r>
      <w:r w:rsidR="00BC5A8B">
        <w:rPr>
          <w:rFonts w:cs="Arial"/>
          <w:lang w:val="en-US"/>
        </w:rPr>
        <w:t>during</w:t>
      </w:r>
      <w:r>
        <w:rPr>
          <w:rFonts w:cs="Arial"/>
          <w:lang w:val="en-US"/>
        </w:rPr>
        <w:t xml:space="preserve"> an </w:t>
      </w:r>
      <w:r w:rsidR="00E7619E">
        <w:rPr>
          <w:rFonts w:cs="Arial"/>
          <w:lang w:val="en-US"/>
        </w:rPr>
        <w:t>“</w:t>
      </w:r>
      <w:r>
        <w:rPr>
          <w:rFonts w:cs="Arial"/>
          <w:lang w:val="en-US"/>
        </w:rPr>
        <w:t>armed struggle</w:t>
      </w:r>
      <w:r w:rsidR="00E7619E">
        <w:rPr>
          <w:rFonts w:cs="Arial"/>
          <w:lang w:val="en-US"/>
        </w:rPr>
        <w:t>”</w:t>
      </w:r>
      <w:r>
        <w:rPr>
          <w:rFonts w:cs="Arial"/>
          <w:lang w:val="en-US"/>
        </w:rPr>
        <w:t xml:space="preserve"> as contemplated in the Act </w:t>
      </w:r>
      <w:r w:rsidR="00E7619E">
        <w:rPr>
          <w:rFonts w:cs="Arial"/>
          <w:lang w:val="en-US"/>
        </w:rPr>
        <w:t xml:space="preserve">– is not open to him. SALC submits that </w:t>
      </w:r>
      <w:r w:rsidR="004A528C">
        <w:rPr>
          <w:rFonts w:cs="Arial"/>
          <w:lang w:val="en-US"/>
        </w:rPr>
        <w:t>Mr Okah’s</w:t>
      </w:r>
      <w:r w:rsidR="00E7619E">
        <w:rPr>
          <w:rFonts w:cs="Arial"/>
          <w:lang w:val="en-US"/>
        </w:rPr>
        <w:t xml:space="preserve"> interpretation, as applied to the facts before this Court, would render </w:t>
      </w:r>
      <w:r w:rsidR="004A528C">
        <w:rPr>
          <w:rFonts w:cs="Arial"/>
          <w:lang w:val="en-US"/>
        </w:rPr>
        <w:t>an</w:t>
      </w:r>
      <w:r w:rsidR="00E7619E">
        <w:rPr>
          <w:rFonts w:cs="Arial"/>
          <w:lang w:val="en-US"/>
        </w:rPr>
        <w:t xml:space="preserve"> unconstitutional outcome. In South Africa</w:t>
      </w:r>
      <w:r w:rsidR="004A528C">
        <w:rPr>
          <w:rFonts w:cs="Arial"/>
          <w:lang w:val="en-US"/>
        </w:rPr>
        <w:t>’s constitutional dispensation, our courts and law enforcement agencies are compelled to protect – rather than detract from – fundamental human rights</w:t>
      </w:r>
      <w:r>
        <w:rPr>
          <w:rFonts w:cs="Arial"/>
          <w:lang w:val="en-US"/>
        </w:rPr>
        <w:t>.</w:t>
      </w:r>
    </w:p>
    <w:p w:rsidR="00AC769A" w:rsidRPr="00D76D5C" w:rsidRDefault="00AC769A" w:rsidP="00AC769A">
      <w:pPr>
        <w:pStyle w:val="WWList1"/>
        <w:keepNext/>
        <w:rPr>
          <w:rFonts w:cs="Arial"/>
          <w:lang w:val="en-US"/>
        </w:rPr>
      </w:pPr>
      <w:r w:rsidRPr="00D76D5C">
        <w:rPr>
          <w:rFonts w:cs="Arial"/>
        </w:rPr>
        <w:t>Section 1(4) reads as follows:</w:t>
      </w:r>
    </w:p>
    <w:p w:rsidR="00AC769A" w:rsidRPr="00710F11" w:rsidRDefault="004D5855" w:rsidP="00710F11">
      <w:pPr>
        <w:pStyle w:val="WWBodyText2"/>
        <w:spacing w:line="360" w:lineRule="auto"/>
        <w:ind w:right="584"/>
        <w:rPr>
          <w:rFonts w:cs="Arial"/>
          <w:sz w:val="20"/>
          <w:szCs w:val="20"/>
          <w:lang w:val="en-US"/>
        </w:rPr>
      </w:pPr>
      <w:r w:rsidRPr="00710F11">
        <w:rPr>
          <w:rFonts w:cs="Arial"/>
          <w:sz w:val="20"/>
          <w:szCs w:val="20"/>
          <w:lang w:val="en-US"/>
        </w:rPr>
        <w:t>“</w:t>
      </w:r>
      <w:r w:rsidR="00AC769A" w:rsidRPr="00710F11">
        <w:rPr>
          <w:rFonts w:cs="Arial"/>
          <w:sz w:val="20"/>
          <w:szCs w:val="20"/>
          <w:lang w:val="en-US"/>
        </w:rPr>
        <w:t xml:space="preserve">Notwithstanding any provisions of this act or any other law, any act committed during a struggle waged by peoples including any action during an armed struggle, </w:t>
      </w:r>
      <w:r w:rsidR="00AC769A" w:rsidRPr="00710F11">
        <w:rPr>
          <w:rFonts w:cs="Arial"/>
          <w:sz w:val="20"/>
          <w:szCs w:val="20"/>
          <w:u w:val="single"/>
          <w:lang w:val="en-US"/>
        </w:rPr>
        <w:t>in the exercise or furtherance of their legitimate right to national liberation, self-determination and independence against colonialism, or occupation or aggression or domination by alien or foreign forces, in accordance with the principles of international law, especially international humanitarian law, including the purposes and principles of the Charter of the United Nations and the Declaration on the Principles of International Law concerning Friendly Relations and Cooperation among States in accordance  with the said Charter, shall not, for any reason, including for the purposes of prosecution or extradition, be considered as terrorist activity as defined in subsection (1)</w:t>
      </w:r>
      <w:r w:rsidR="00AC769A" w:rsidRPr="00710F11">
        <w:rPr>
          <w:rFonts w:cs="Arial"/>
          <w:sz w:val="20"/>
          <w:szCs w:val="20"/>
          <w:lang w:val="en-US"/>
        </w:rPr>
        <w:t>.</w:t>
      </w:r>
      <w:r w:rsidRPr="00710F11">
        <w:rPr>
          <w:rFonts w:cs="Arial"/>
          <w:sz w:val="20"/>
          <w:szCs w:val="20"/>
          <w:lang w:val="en-US"/>
        </w:rPr>
        <w:t>”</w:t>
      </w:r>
      <w:r>
        <w:rPr>
          <w:rFonts w:cs="Arial"/>
          <w:sz w:val="20"/>
          <w:szCs w:val="20"/>
          <w:lang w:val="en-US"/>
        </w:rPr>
        <w:t xml:space="preserve"> (own emphasis)</w:t>
      </w:r>
    </w:p>
    <w:p w:rsidR="00AC769A" w:rsidRPr="00D76D5C" w:rsidRDefault="004A528C" w:rsidP="00AC769A">
      <w:pPr>
        <w:pStyle w:val="WWList1"/>
        <w:keepNext/>
        <w:rPr>
          <w:rFonts w:cs="Arial"/>
          <w:lang w:val="en-US"/>
        </w:rPr>
      </w:pPr>
      <w:r>
        <w:rPr>
          <w:rFonts w:cs="Arial"/>
        </w:rPr>
        <w:lastRenderedPageBreak/>
        <w:t>T</w:t>
      </w:r>
      <w:r w:rsidR="00AC769A" w:rsidRPr="00D76D5C">
        <w:rPr>
          <w:rFonts w:cs="Arial"/>
        </w:rPr>
        <w:t>he Terrorism Act</w:t>
      </w:r>
      <w:r>
        <w:rPr>
          <w:rFonts w:cs="Arial"/>
        </w:rPr>
        <w:t>, thus</w:t>
      </w:r>
      <w:r w:rsidR="00AC769A" w:rsidRPr="00D76D5C">
        <w:rPr>
          <w:rFonts w:cs="Arial"/>
        </w:rPr>
        <w:t>,</w:t>
      </w:r>
      <w:r>
        <w:rPr>
          <w:rFonts w:cs="Arial"/>
        </w:rPr>
        <w:t xml:space="preserve"> creates certain exceptions to the crime of terrorism; in effect, limiting the legal consequences which would otherwise and </w:t>
      </w:r>
      <w:r w:rsidR="00BC5A8B">
        <w:rPr>
          <w:rFonts w:cs="Arial"/>
        </w:rPr>
        <w:t>ordinarily</w:t>
      </w:r>
      <w:r>
        <w:rPr>
          <w:rFonts w:cs="Arial"/>
        </w:rPr>
        <w:t xml:space="preserve"> attach to those acts. </w:t>
      </w:r>
      <w:r w:rsidR="00AC769A" w:rsidRPr="00D76D5C">
        <w:rPr>
          <w:rFonts w:cs="Arial"/>
        </w:rPr>
        <w:t xml:space="preserve"> </w:t>
      </w:r>
      <w:r>
        <w:rPr>
          <w:rFonts w:cs="Arial"/>
        </w:rPr>
        <w:t>Those exceptions include acts committed</w:t>
      </w:r>
      <w:r w:rsidR="00AC769A" w:rsidRPr="00D76D5C">
        <w:rPr>
          <w:rFonts w:cs="Arial"/>
        </w:rPr>
        <w:t xml:space="preserve">: </w:t>
      </w:r>
    </w:p>
    <w:p w:rsidR="00AC769A" w:rsidRPr="00D76D5C" w:rsidRDefault="00AC769A" w:rsidP="00AC769A">
      <w:pPr>
        <w:pStyle w:val="WWList2"/>
        <w:rPr>
          <w:rFonts w:cs="Arial"/>
        </w:rPr>
      </w:pPr>
      <w:r w:rsidRPr="00D76D5C">
        <w:rPr>
          <w:rFonts w:cs="Arial"/>
        </w:rPr>
        <w:t>"</w:t>
      </w:r>
      <w:r w:rsidR="004F5B8A" w:rsidRPr="00D76D5C">
        <w:rPr>
          <w:rFonts w:cs="Arial"/>
        </w:rPr>
        <w:t>"</w:t>
      </w:r>
      <w:r w:rsidRPr="00D76D5C">
        <w:rPr>
          <w:rFonts w:cs="Arial"/>
        </w:rPr>
        <w:t xml:space="preserve">in the exercise or furtherance of their legitimate right to national liberation, self-determination and independence against colonialism" during armed struggles; </w:t>
      </w:r>
      <w:r w:rsidRPr="00D76D5C">
        <w:rPr>
          <w:rFonts w:cs="Arial"/>
          <w:i/>
        </w:rPr>
        <w:t>or</w:t>
      </w:r>
      <w:r w:rsidRPr="00D76D5C">
        <w:rPr>
          <w:rFonts w:cs="Arial"/>
        </w:rPr>
        <w:t xml:space="preserve"> </w:t>
      </w:r>
    </w:p>
    <w:p w:rsidR="00AC769A" w:rsidRPr="00D76D5C" w:rsidRDefault="00AC769A" w:rsidP="00AA04D2">
      <w:pPr>
        <w:pStyle w:val="WWList2"/>
        <w:rPr>
          <w:rFonts w:cs="Arial"/>
          <w:i/>
        </w:rPr>
      </w:pPr>
      <w:r w:rsidRPr="00D76D5C">
        <w:rPr>
          <w:rFonts w:cs="Arial"/>
        </w:rPr>
        <w:t xml:space="preserve">in an armed struggle against </w:t>
      </w:r>
      <w:r w:rsidR="00AA04D2" w:rsidRPr="00D76D5C">
        <w:rPr>
          <w:rFonts w:cs="Arial"/>
        </w:rPr>
        <w:t>"</w:t>
      </w:r>
      <w:r w:rsidRPr="00D76D5C">
        <w:rPr>
          <w:rFonts w:cs="Arial"/>
        </w:rPr>
        <w:t>occupation or aggression or domination by alien or foreign forces</w:t>
      </w:r>
      <w:r w:rsidR="00AA04D2" w:rsidRPr="00D76D5C">
        <w:rPr>
          <w:rFonts w:cs="Arial"/>
        </w:rPr>
        <w:t>"</w:t>
      </w:r>
      <w:r w:rsidRPr="00D76D5C">
        <w:rPr>
          <w:rFonts w:cs="Arial"/>
        </w:rPr>
        <w:t xml:space="preserve">; </w:t>
      </w:r>
      <w:r w:rsidRPr="00D76D5C">
        <w:rPr>
          <w:rFonts w:cs="Arial"/>
          <w:i/>
        </w:rPr>
        <w:t xml:space="preserve">and in addition, </w:t>
      </w:r>
    </w:p>
    <w:p w:rsidR="00AC769A" w:rsidRPr="00D76D5C" w:rsidRDefault="00AC769A" w:rsidP="00AA04D2">
      <w:pPr>
        <w:pStyle w:val="WWList2"/>
        <w:rPr>
          <w:rFonts w:cs="Arial"/>
        </w:rPr>
      </w:pPr>
      <w:r w:rsidRPr="00D76D5C">
        <w:rPr>
          <w:rFonts w:cs="Arial"/>
        </w:rPr>
        <w:t xml:space="preserve">when done </w:t>
      </w:r>
      <w:r w:rsidR="00AA04D2" w:rsidRPr="00D76D5C">
        <w:rPr>
          <w:rFonts w:cs="Arial"/>
        </w:rPr>
        <w:t>"</w:t>
      </w:r>
      <w:r w:rsidRPr="00D76D5C">
        <w:rPr>
          <w:rFonts w:cs="Arial"/>
        </w:rPr>
        <w:t>in accordance with the pr</w:t>
      </w:r>
      <w:r w:rsidR="00AA04D2" w:rsidRPr="00D76D5C">
        <w:rPr>
          <w:rFonts w:cs="Arial"/>
        </w:rPr>
        <w:t>inciples of international law".</w:t>
      </w:r>
    </w:p>
    <w:p w:rsidR="00AC769A" w:rsidRPr="00D76D5C" w:rsidRDefault="002976FD" w:rsidP="00AA04D2">
      <w:pPr>
        <w:pStyle w:val="WWList1"/>
        <w:rPr>
          <w:rFonts w:cs="Arial"/>
          <w:lang w:val="en-US"/>
        </w:rPr>
      </w:pPr>
      <w:r>
        <w:rPr>
          <w:rFonts w:cs="Arial"/>
        </w:rPr>
        <w:t>In order for Mr Okah to enjoy the benefits of the exceptions, defined above, he would need to demonstrate that the crimes he has been founding guilty of, fall within one of the specified categories</w:t>
      </w:r>
      <w:r w:rsidR="00AC769A" w:rsidRPr="00D76D5C">
        <w:rPr>
          <w:rFonts w:cs="Arial"/>
        </w:rPr>
        <w:t>.</w:t>
      </w:r>
    </w:p>
    <w:p w:rsidR="00AA04D2" w:rsidRPr="00D76D5C" w:rsidRDefault="002976FD" w:rsidP="00AA04D2">
      <w:pPr>
        <w:pStyle w:val="WWList1"/>
        <w:rPr>
          <w:rFonts w:cs="Arial"/>
          <w:lang w:val="en-US"/>
        </w:rPr>
      </w:pPr>
      <w:r>
        <w:rPr>
          <w:rFonts w:cs="Arial"/>
        </w:rPr>
        <w:t>Mr Okah’s</w:t>
      </w:r>
      <w:r w:rsidR="00AC769A" w:rsidRPr="00D76D5C">
        <w:rPr>
          <w:rFonts w:cs="Arial"/>
        </w:rPr>
        <w:t xml:space="preserve"> submissions raise important issues concerning the distinction between acts of international terrorism and acts committed by peoples in the context of a struggle against oppression (</w:t>
      </w:r>
      <w:r>
        <w:rPr>
          <w:rFonts w:cs="Arial"/>
        </w:rPr>
        <w:t>i.e.</w:t>
      </w:r>
      <w:r w:rsidR="00AC769A" w:rsidRPr="00D76D5C">
        <w:rPr>
          <w:rFonts w:cs="Arial"/>
        </w:rPr>
        <w:t xml:space="preserve"> </w:t>
      </w:r>
      <w:r w:rsidR="00AA04D2" w:rsidRPr="00D76D5C">
        <w:rPr>
          <w:rFonts w:cs="Arial"/>
        </w:rPr>
        <w:t>"</w:t>
      </w:r>
      <w:r w:rsidR="00AC769A" w:rsidRPr="00D76D5C">
        <w:rPr>
          <w:rFonts w:cs="Arial"/>
          <w:b/>
        </w:rPr>
        <w:t>freedom fighters</w:t>
      </w:r>
      <w:r w:rsidR="00AA04D2" w:rsidRPr="00D76D5C">
        <w:rPr>
          <w:rFonts w:cs="Arial"/>
        </w:rPr>
        <w:t>"</w:t>
      </w:r>
      <w:r w:rsidR="00AC769A" w:rsidRPr="00D76D5C">
        <w:rPr>
          <w:rFonts w:cs="Arial"/>
        </w:rPr>
        <w:t xml:space="preserve">).  </w:t>
      </w:r>
      <w:r>
        <w:rPr>
          <w:rFonts w:cs="Arial"/>
        </w:rPr>
        <w:t>Mr Okah’s submissions</w:t>
      </w:r>
      <w:r w:rsidRPr="00D76D5C">
        <w:rPr>
          <w:rFonts w:cs="Arial"/>
        </w:rPr>
        <w:t xml:space="preserve"> </w:t>
      </w:r>
      <w:r>
        <w:rPr>
          <w:rFonts w:cs="Arial"/>
        </w:rPr>
        <w:t xml:space="preserve">directly </w:t>
      </w:r>
      <w:r w:rsidR="00AC769A" w:rsidRPr="00D76D5C">
        <w:rPr>
          <w:rFonts w:cs="Arial"/>
        </w:rPr>
        <w:t>raise</w:t>
      </w:r>
      <w:r>
        <w:rPr>
          <w:rFonts w:cs="Arial"/>
        </w:rPr>
        <w:t xml:space="preserve"> the question</w:t>
      </w:r>
      <w:r w:rsidR="00AC769A" w:rsidRPr="00D76D5C">
        <w:rPr>
          <w:rFonts w:cs="Arial"/>
        </w:rPr>
        <w:t xml:space="preserve"> whether freedom fighters can be </w:t>
      </w:r>
      <w:r>
        <w:rPr>
          <w:rFonts w:cs="Arial"/>
        </w:rPr>
        <w:t xml:space="preserve">convicted </w:t>
      </w:r>
      <w:r w:rsidRPr="00D76D5C">
        <w:rPr>
          <w:rFonts w:cs="Arial"/>
        </w:rPr>
        <w:t>for</w:t>
      </w:r>
      <w:r>
        <w:rPr>
          <w:rFonts w:cs="Arial"/>
        </w:rPr>
        <w:t xml:space="preserve"> the crime of</w:t>
      </w:r>
      <w:r w:rsidRPr="00D76D5C">
        <w:rPr>
          <w:rFonts w:cs="Arial"/>
        </w:rPr>
        <w:t xml:space="preserve"> international terrorism under the Act</w:t>
      </w:r>
      <w:r w:rsidR="00AC769A" w:rsidRPr="00D76D5C">
        <w:rPr>
          <w:rFonts w:cs="Arial"/>
        </w:rPr>
        <w:t xml:space="preserve">, </w:t>
      </w:r>
      <w:r>
        <w:rPr>
          <w:rFonts w:cs="Arial"/>
        </w:rPr>
        <w:t>personally/directly</w:t>
      </w:r>
      <w:r w:rsidR="00AC769A" w:rsidRPr="00D76D5C">
        <w:rPr>
          <w:rFonts w:cs="Arial"/>
        </w:rPr>
        <w:t xml:space="preserve"> or</w:t>
      </w:r>
      <w:r>
        <w:rPr>
          <w:rFonts w:cs="Arial"/>
        </w:rPr>
        <w:t xml:space="preserve"> by </w:t>
      </w:r>
      <w:r w:rsidR="00AC769A" w:rsidRPr="00D76D5C">
        <w:rPr>
          <w:rFonts w:cs="Arial"/>
        </w:rPr>
        <w:t>association</w:t>
      </w:r>
      <w:r>
        <w:rPr>
          <w:rFonts w:cs="Arial"/>
        </w:rPr>
        <w:t>/indirectly</w:t>
      </w:r>
      <w:r w:rsidR="00AC769A" w:rsidRPr="00D76D5C">
        <w:rPr>
          <w:rFonts w:cs="Arial"/>
        </w:rPr>
        <w:t>, for their involvement in the</w:t>
      </w:r>
      <w:r>
        <w:rPr>
          <w:rFonts w:cs="Arial"/>
        </w:rPr>
        <w:t xml:space="preserve"> activities related to their particular</w:t>
      </w:r>
      <w:r w:rsidR="00AC769A" w:rsidRPr="00D76D5C">
        <w:rPr>
          <w:rFonts w:cs="Arial"/>
        </w:rPr>
        <w:t xml:space="preserve"> struggle</w:t>
      </w:r>
      <w:r>
        <w:rPr>
          <w:rFonts w:cs="Arial"/>
        </w:rPr>
        <w:t>.</w:t>
      </w:r>
      <w:r w:rsidRPr="00D76D5C">
        <w:rPr>
          <w:rFonts w:cs="Arial"/>
        </w:rPr>
        <w:t xml:space="preserve"> </w:t>
      </w:r>
    </w:p>
    <w:p w:rsidR="002976FD" w:rsidRDefault="002976FD" w:rsidP="00AA04D2">
      <w:pPr>
        <w:pStyle w:val="WWList1"/>
        <w:rPr>
          <w:rFonts w:cs="Arial"/>
          <w:lang w:val="en-US"/>
        </w:rPr>
      </w:pPr>
      <w:r>
        <w:rPr>
          <w:rFonts w:cs="Arial"/>
          <w:lang w:val="en-US"/>
        </w:rPr>
        <w:t xml:space="preserve">In this regard, </w:t>
      </w:r>
      <w:r w:rsidR="00AC769A" w:rsidRPr="00D76D5C">
        <w:rPr>
          <w:rFonts w:cs="Arial"/>
          <w:lang w:val="en-US"/>
        </w:rPr>
        <w:t xml:space="preserve">SALC supports the State’s submissions which has been advanced in respect of the interpretation of </w:t>
      </w:r>
      <w:r w:rsidR="00AA04D2" w:rsidRPr="00D76D5C">
        <w:rPr>
          <w:rFonts w:cs="Arial"/>
          <w:lang w:val="en-US"/>
        </w:rPr>
        <w:t>"</w:t>
      </w:r>
      <w:r w:rsidR="00AC769A" w:rsidRPr="00D76D5C">
        <w:rPr>
          <w:rFonts w:cs="Arial"/>
          <w:b/>
          <w:lang w:val="en-US"/>
        </w:rPr>
        <w:t>Specified Offence</w:t>
      </w:r>
      <w:r w:rsidR="00AA04D2" w:rsidRPr="00D76D5C">
        <w:rPr>
          <w:rFonts w:cs="Arial"/>
          <w:lang w:val="en-US"/>
        </w:rPr>
        <w:t>"</w:t>
      </w:r>
      <w:r w:rsidR="00AC769A" w:rsidRPr="00D76D5C">
        <w:rPr>
          <w:rFonts w:cs="Arial"/>
          <w:lang w:val="en-US"/>
        </w:rPr>
        <w:t xml:space="preserve">. </w:t>
      </w:r>
    </w:p>
    <w:p w:rsidR="00AA04D2" w:rsidRPr="00D76D5C" w:rsidRDefault="00AC769A" w:rsidP="00AA04D2">
      <w:pPr>
        <w:pStyle w:val="WWList1"/>
        <w:rPr>
          <w:rFonts w:cs="Arial"/>
          <w:lang w:val="en-US"/>
        </w:rPr>
      </w:pPr>
      <w:r w:rsidRPr="00D76D5C">
        <w:rPr>
          <w:rFonts w:cs="Arial"/>
          <w:lang w:val="en-US"/>
        </w:rPr>
        <w:t xml:space="preserve">SALC </w:t>
      </w:r>
      <w:r w:rsidR="002976FD">
        <w:rPr>
          <w:rFonts w:cs="Arial"/>
          <w:lang w:val="en-US"/>
        </w:rPr>
        <w:t xml:space="preserve">will focus on </w:t>
      </w:r>
      <w:r w:rsidRPr="00D76D5C">
        <w:rPr>
          <w:rFonts w:cs="Arial"/>
          <w:lang w:val="en-US"/>
        </w:rPr>
        <w:t>who can be defined as a terrorist and under what circumstances</w:t>
      </w:r>
      <w:r w:rsidR="002976FD">
        <w:rPr>
          <w:rFonts w:cs="Arial"/>
          <w:lang w:val="en-US"/>
        </w:rPr>
        <w:t>, with particular reference to</w:t>
      </w:r>
      <w:r w:rsidRPr="00D76D5C">
        <w:rPr>
          <w:rFonts w:cs="Arial"/>
          <w:lang w:val="en-US"/>
        </w:rPr>
        <w:t xml:space="preserve"> </w:t>
      </w:r>
      <w:r w:rsidRPr="00D76D5C">
        <w:rPr>
          <w:rFonts w:cs="Arial"/>
        </w:rPr>
        <w:t xml:space="preserve">the application of regional and international criminal law principles relating to international terrorism </w:t>
      </w:r>
      <w:r w:rsidR="0085229E">
        <w:rPr>
          <w:rFonts w:cs="Arial"/>
        </w:rPr>
        <w:t>as a means to interpret</w:t>
      </w:r>
      <w:r w:rsidRPr="00D76D5C">
        <w:rPr>
          <w:rFonts w:cs="Arial"/>
        </w:rPr>
        <w:t xml:space="preserve"> section 1(4) of </w:t>
      </w:r>
      <w:r w:rsidR="00AA04D2" w:rsidRPr="00D76D5C">
        <w:rPr>
          <w:rFonts w:cs="Arial"/>
        </w:rPr>
        <w:t>the Terrorist Act.</w:t>
      </w:r>
    </w:p>
    <w:p w:rsidR="00AA04D2" w:rsidRPr="00D76D5C" w:rsidRDefault="00AC769A" w:rsidP="00AA04D2">
      <w:pPr>
        <w:pStyle w:val="WWList1"/>
        <w:keepNext/>
        <w:rPr>
          <w:rFonts w:cs="Arial"/>
          <w:lang w:val="en-US"/>
        </w:rPr>
      </w:pPr>
      <w:r w:rsidRPr="00D76D5C">
        <w:rPr>
          <w:rFonts w:cs="Arial"/>
          <w:lang w:val="en-US"/>
        </w:rPr>
        <w:t xml:space="preserve">SALC </w:t>
      </w:r>
      <w:r w:rsidR="0085229E">
        <w:rPr>
          <w:rFonts w:cs="Arial"/>
          <w:lang w:val="en-US"/>
        </w:rPr>
        <w:t>respectfully submits</w:t>
      </w:r>
      <w:r w:rsidRPr="00D76D5C">
        <w:rPr>
          <w:rFonts w:cs="Arial"/>
          <w:lang w:val="en-US"/>
        </w:rPr>
        <w:t xml:space="preserve"> that:</w:t>
      </w:r>
    </w:p>
    <w:p w:rsidR="00AA04D2" w:rsidRPr="00D76D5C" w:rsidRDefault="00AC769A" w:rsidP="00AA04D2">
      <w:pPr>
        <w:pStyle w:val="WWList2"/>
        <w:rPr>
          <w:rFonts w:cs="Arial"/>
          <w:lang w:val="en-US"/>
        </w:rPr>
      </w:pPr>
      <w:r w:rsidRPr="00D76D5C">
        <w:rPr>
          <w:rFonts w:cs="Arial"/>
          <w:lang w:val="en-US"/>
        </w:rPr>
        <w:t xml:space="preserve">Despite the international community not agreeing on a single instrument governing the definition of the crime of </w:t>
      </w:r>
      <w:r w:rsidR="0085229E">
        <w:rPr>
          <w:rFonts w:cs="Arial"/>
          <w:lang w:val="en-US"/>
        </w:rPr>
        <w:t>“</w:t>
      </w:r>
      <w:r w:rsidRPr="00D76D5C">
        <w:rPr>
          <w:rFonts w:cs="Arial"/>
          <w:lang w:val="en-US"/>
        </w:rPr>
        <w:t>terrorism</w:t>
      </w:r>
      <w:r w:rsidR="0085229E">
        <w:rPr>
          <w:rFonts w:cs="Arial"/>
          <w:lang w:val="en-US"/>
        </w:rPr>
        <w:t>”</w:t>
      </w:r>
      <w:r w:rsidRPr="00D76D5C">
        <w:rPr>
          <w:rFonts w:cs="Arial"/>
          <w:lang w:val="en-US"/>
        </w:rPr>
        <w:t xml:space="preserve">, there is consensus on </w:t>
      </w:r>
      <w:r w:rsidR="0085229E">
        <w:rPr>
          <w:rFonts w:cs="Arial"/>
          <w:lang w:val="en-US"/>
        </w:rPr>
        <w:t xml:space="preserve">what constitutes </w:t>
      </w:r>
      <w:r w:rsidRPr="00D76D5C">
        <w:rPr>
          <w:rFonts w:cs="Arial"/>
          <w:lang w:val="en-US"/>
        </w:rPr>
        <w:t xml:space="preserve">a definition of terrorism </w:t>
      </w:r>
      <w:r w:rsidRPr="00710F11">
        <w:rPr>
          <w:rFonts w:cs="Arial"/>
          <w:lang w:val="en-US"/>
        </w:rPr>
        <w:t>in times of peace</w:t>
      </w:r>
      <w:r w:rsidRPr="00D76D5C">
        <w:rPr>
          <w:rFonts w:cs="Arial"/>
          <w:lang w:val="en-US"/>
        </w:rPr>
        <w:t xml:space="preserve">. </w:t>
      </w:r>
      <w:r w:rsidR="0085229E">
        <w:rPr>
          <w:rFonts w:cs="Arial"/>
          <w:lang w:val="en-US"/>
        </w:rPr>
        <w:t>Although d</w:t>
      </w:r>
      <w:r w:rsidRPr="00D76D5C">
        <w:rPr>
          <w:rFonts w:cs="Arial"/>
          <w:lang w:val="en-US"/>
        </w:rPr>
        <w:t>ifferences still remain on the exact definition of the crime when committed during an armed conflict</w:t>
      </w:r>
      <w:r w:rsidR="0085229E">
        <w:rPr>
          <w:rFonts w:cs="Arial"/>
          <w:lang w:val="en-US"/>
        </w:rPr>
        <w:t xml:space="preserve">, SALC submits </w:t>
      </w:r>
      <w:r w:rsidR="00BC5A8B">
        <w:rPr>
          <w:rFonts w:cs="Arial"/>
          <w:lang w:val="en-US"/>
        </w:rPr>
        <w:t xml:space="preserve">that </w:t>
      </w:r>
      <w:r w:rsidR="00BC5A8B" w:rsidRPr="00D76D5C">
        <w:rPr>
          <w:rFonts w:cs="Arial"/>
          <w:lang w:val="en-US"/>
        </w:rPr>
        <w:t>the</w:t>
      </w:r>
      <w:r w:rsidR="0085229E">
        <w:rPr>
          <w:rFonts w:cs="Arial"/>
          <w:lang w:val="en-US"/>
        </w:rPr>
        <w:t xml:space="preserve"> r</w:t>
      </w:r>
      <w:r w:rsidRPr="00D76D5C">
        <w:rPr>
          <w:rFonts w:cs="Arial"/>
          <w:lang w:val="en-US"/>
        </w:rPr>
        <w:t>elevant factual inquiries for a</w:t>
      </w:r>
      <w:r w:rsidR="0085229E">
        <w:rPr>
          <w:rFonts w:cs="Arial"/>
          <w:lang w:val="en-US"/>
        </w:rPr>
        <w:t xml:space="preserve"> Judge </w:t>
      </w:r>
      <w:r w:rsidRPr="00D76D5C">
        <w:rPr>
          <w:rFonts w:cs="Arial"/>
          <w:lang w:val="en-US"/>
        </w:rPr>
        <w:t>in evaluating acts of terrorism versus those of freedom fighters include:</w:t>
      </w:r>
    </w:p>
    <w:p w:rsidR="00AA04D2" w:rsidRPr="00D76D5C" w:rsidRDefault="0085229E" w:rsidP="00AA04D2">
      <w:pPr>
        <w:pStyle w:val="WWList3"/>
        <w:rPr>
          <w:rFonts w:cs="Arial"/>
          <w:lang w:val="en-US"/>
        </w:rPr>
      </w:pPr>
      <w:r>
        <w:rPr>
          <w:rFonts w:cs="Arial"/>
          <w:lang w:val="en-US"/>
        </w:rPr>
        <w:t>What was the purpose of the act: was it</w:t>
      </w:r>
      <w:r w:rsidR="00AC769A" w:rsidRPr="00D76D5C">
        <w:rPr>
          <w:rFonts w:cs="Arial"/>
          <w:lang w:val="en-US"/>
        </w:rPr>
        <w:t xml:space="preserve"> intended to spread </w:t>
      </w:r>
      <w:r>
        <w:rPr>
          <w:rFonts w:cs="Arial"/>
          <w:lang w:val="en-US"/>
        </w:rPr>
        <w:t>terror (fear)</w:t>
      </w:r>
      <w:r w:rsidR="00AC769A" w:rsidRPr="00D76D5C">
        <w:rPr>
          <w:rFonts w:cs="Arial"/>
          <w:lang w:val="en-US"/>
        </w:rPr>
        <w:t xml:space="preserve"> among the population or </w:t>
      </w:r>
      <w:r>
        <w:rPr>
          <w:rFonts w:cs="Arial"/>
          <w:lang w:val="en-US"/>
        </w:rPr>
        <w:t>achieve some other purpose?</w:t>
      </w:r>
      <w:r w:rsidR="00AC769A" w:rsidRPr="00D76D5C">
        <w:rPr>
          <w:rFonts w:cs="Arial"/>
          <w:lang w:val="en-US"/>
        </w:rPr>
        <w:t xml:space="preserve">; </w:t>
      </w:r>
    </w:p>
    <w:p w:rsidR="00AA04D2" w:rsidRPr="00D76D5C" w:rsidRDefault="0085229E" w:rsidP="00AA04D2">
      <w:pPr>
        <w:pStyle w:val="WWList3"/>
        <w:rPr>
          <w:rFonts w:cs="Arial"/>
          <w:lang w:val="en-US"/>
        </w:rPr>
      </w:pPr>
      <w:r>
        <w:rPr>
          <w:rFonts w:cs="Arial"/>
          <w:lang w:val="en-US"/>
        </w:rPr>
        <w:t>W</w:t>
      </w:r>
      <w:r w:rsidR="00AC769A" w:rsidRPr="00D76D5C">
        <w:rPr>
          <w:rFonts w:cs="Arial"/>
          <w:lang w:val="en-US"/>
        </w:rPr>
        <w:t xml:space="preserve">hat </w:t>
      </w:r>
      <w:r>
        <w:rPr>
          <w:rFonts w:cs="Arial"/>
          <w:lang w:val="en-US"/>
        </w:rPr>
        <w:t xml:space="preserve">was </w:t>
      </w:r>
      <w:r w:rsidR="00AC769A" w:rsidRPr="00D76D5C">
        <w:rPr>
          <w:rFonts w:cs="Arial"/>
          <w:lang w:val="en-US"/>
        </w:rPr>
        <w:t xml:space="preserve">the situation </w:t>
      </w:r>
      <w:r>
        <w:rPr>
          <w:rFonts w:cs="Arial"/>
          <w:lang w:val="en-US"/>
        </w:rPr>
        <w:t xml:space="preserve">at the time the act was either planned or executed: </w:t>
      </w:r>
      <w:r w:rsidR="00AC769A" w:rsidRPr="00D76D5C">
        <w:rPr>
          <w:rFonts w:cs="Arial"/>
          <w:lang w:val="en-US"/>
        </w:rPr>
        <w:t xml:space="preserve">was </w:t>
      </w:r>
      <w:r>
        <w:rPr>
          <w:rFonts w:cs="Arial"/>
          <w:lang w:val="en-US"/>
        </w:rPr>
        <w:t>the country in the midst of a civil</w:t>
      </w:r>
      <w:r w:rsidR="00AC769A" w:rsidRPr="00D76D5C">
        <w:rPr>
          <w:rFonts w:cs="Arial"/>
          <w:lang w:val="en-US"/>
        </w:rPr>
        <w:t xml:space="preserve"> war</w:t>
      </w:r>
      <w:r>
        <w:rPr>
          <w:rFonts w:cs="Arial"/>
          <w:lang w:val="en-US"/>
        </w:rPr>
        <w:t xml:space="preserve">, subject to </w:t>
      </w:r>
      <w:r w:rsidR="00AC769A" w:rsidRPr="00D76D5C">
        <w:rPr>
          <w:rFonts w:cs="Arial"/>
          <w:lang w:val="en-US"/>
        </w:rPr>
        <w:t>foreign military occupation</w:t>
      </w:r>
      <w:r>
        <w:rPr>
          <w:rFonts w:cs="Arial"/>
          <w:lang w:val="en-US"/>
        </w:rPr>
        <w:t>, at</w:t>
      </w:r>
      <w:r w:rsidR="00AC769A" w:rsidRPr="00D76D5C">
        <w:rPr>
          <w:rFonts w:cs="Arial"/>
          <w:lang w:val="en-US"/>
        </w:rPr>
        <w:t xml:space="preserve"> peace</w:t>
      </w:r>
      <w:r>
        <w:rPr>
          <w:rFonts w:cs="Arial"/>
          <w:lang w:val="en-US"/>
        </w:rPr>
        <w:t xml:space="preserve"> and so on?</w:t>
      </w:r>
      <w:r w:rsidR="00AC769A" w:rsidRPr="00D76D5C">
        <w:rPr>
          <w:rFonts w:cs="Arial"/>
          <w:lang w:val="en-US"/>
        </w:rPr>
        <w:t xml:space="preserve">; </w:t>
      </w:r>
    </w:p>
    <w:p w:rsidR="00AA04D2" w:rsidRPr="00D76D5C" w:rsidRDefault="0085229E" w:rsidP="00AA04D2">
      <w:pPr>
        <w:pStyle w:val="WWList3"/>
        <w:rPr>
          <w:rFonts w:cs="Arial"/>
          <w:lang w:val="en-US"/>
        </w:rPr>
      </w:pPr>
      <w:r>
        <w:rPr>
          <w:rFonts w:cs="Arial"/>
          <w:lang w:val="en-US"/>
        </w:rPr>
        <w:t xml:space="preserve">Who were </w:t>
      </w:r>
      <w:r w:rsidR="00AC769A" w:rsidRPr="00D76D5C">
        <w:rPr>
          <w:rFonts w:cs="Arial"/>
          <w:lang w:val="en-US"/>
        </w:rPr>
        <w:t>the envisaged targets</w:t>
      </w:r>
      <w:r>
        <w:rPr>
          <w:rFonts w:cs="Arial"/>
          <w:lang w:val="en-US"/>
        </w:rPr>
        <w:t>:</w:t>
      </w:r>
      <w:r w:rsidRPr="00D76D5C">
        <w:rPr>
          <w:rFonts w:cs="Arial"/>
          <w:lang w:val="en-US"/>
        </w:rPr>
        <w:t xml:space="preserve"> </w:t>
      </w:r>
      <w:r w:rsidR="0002475D">
        <w:rPr>
          <w:rFonts w:cs="Arial"/>
          <w:lang w:val="en-US"/>
        </w:rPr>
        <w:t>were the intended targets of the acts</w:t>
      </w:r>
      <w:r w:rsidR="00AC769A" w:rsidRPr="00D76D5C">
        <w:rPr>
          <w:rFonts w:cs="Arial"/>
          <w:lang w:val="en-US"/>
        </w:rPr>
        <w:t xml:space="preserve"> civilians, military personnel involved in belligerent operations, or military forces engaged in humanitarian aid</w:t>
      </w:r>
      <w:r w:rsidR="0002475D">
        <w:rPr>
          <w:rFonts w:cs="Arial"/>
          <w:lang w:val="en-US"/>
        </w:rPr>
        <w:t>,</w:t>
      </w:r>
      <w:r w:rsidR="00AC769A" w:rsidRPr="00D76D5C">
        <w:rPr>
          <w:rFonts w:cs="Arial"/>
          <w:lang w:val="en-US"/>
        </w:rPr>
        <w:t xml:space="preserve"> or other similar activities completely extraneous to </w:t>
      </w:r>
      <w:r w:rsidR="00AC769A" w:rsidRPr="00D76D5C">
        <w:rPr>
          <w:rFonts w:cs="Arial"/>
          <w:lang w:val="en-US"/>
        </w:rPr>
        <w:tab/>
        <w:t>belligerent operations</w:t>
      </w:r>
      <w:r w:rsidR="0002475D">
        <w:rPr>
          <w:rFonts w:cs="Arial"/>
          <w:lang w:val="en-US"/>
        </w:rPr>
        <w:t>?</w:t>
      </w:r>
      <w:r w:rsidR="00AC769A" w:rsidRPr="00D76D5C">
        <w:rPr>
          <w:rStyle w:val="FootnoteReference"/>
          <w:rFonts w:cs="Arial"/>
          <w:lang w:val="en-US"/>
        </w:rPr>
        <w:footnoteReference w:id="2"/>
      </w:r>
      <w:r w:rsidR="0002475D">
        <w:rPr>
          <w:rFonts w:cs="Arial"/>
          <w:lang w:val="en-US"/>
        </w:rPr>
        <w:t xml:space="preserve"> It may be of further </w:t>
      </w:r>
      <w:r w:rsidR="00BC5A8B">
        <w:rPr>
          <w:rFonts w:cs="Arial"/>
          <w:lang w:val="en-US"/>
        </w:rPr>
        <w:t>relevance</w:t>
      </w:r>
      <w:r w:rsidR="0002475D">
        <w:rPr>
          <w:rFonts w:cs="Arial"/>
          <w:lang w:val="en-US"/>
        </w:rPr>
        <w:t xml:space="preserve"> in determining whether the intended targets were chosen deliberately or indiscriminately.</w:t>
      </w:r>
    </w:p>
    <w:p w:rsidR="00AA04D2" w:rsidRPr="00D76D5C" w:rsidRDefault="00AC769A" w:rsidP="00AA04D2">
      <w:pPr>
        <w:pStyle w:val="WWList2"/>
        <w:rPr>
          <w:rFonts w:cs="Arial"/>
          <w:lang w:val="en-US"/>
        </w:rPr>
      </w:pPr>
      <w:r w:rsidRPr="00D76D5C">
        <w:rPr>
          <w:rFonts w:cs="Arial"/>
          <w:lang w:val="en-US"/>
        </w:rPr>
        <w:t>Beyond the examination of the definition of terrorism, section 1(4) of the Terrorism Act requires judges to evaluate international law’s recognized exception where violent acts committed by freedom fighters may not qualify as terrorist acts.</w:t>
      </w:r>
    </w:p>
    <w:p w:rsidR="00AA04D2" w:rsidRPr="00D76D5C" w:rsidRDefault="00AC769A" w:rsidP="00AA04D2">
      <w:pPr>
        <w:pStyle w:val="WWList3"/>
        <w:rPr>
          <w:rFonts w:cs="Arial"/>
          <w:lang w:val="en-US"/>
        </w:rPr>
      </w:pPr>
      <w:r w:rsidRPr="00D76D5C">
        <w:rPr>
          <w:rFonts w:cs="Arial"/>
          <w:lang w:val="en-US"/>
        </w:rPr>
        <w:t xml:space="preserve">The Terrorism Act provides an exception for struggles waged by peoples. This </w:t>
      </w:r>
      <w:r w:rsidR="00AB3CEA">
        <w:rPr>
          <w:rFonts w:cs="Arial"/>
          <w:lang w:val="en-US"/>
        </w:rPr>
        <w:t>pertains to, for example,</w:t>
      </w:r>
      <w:r w:rsidRPr="00D76D5C">
        <w:rPr>
          <w:rFonts w:cs="Arial"/>
          <w:lang w:val="en-US"/>
        </w:rPr>
        <w:t xml:space="preserve"> movements seeking national liberation, self-determination</w:t>
      </w:r>
      <w:r w:rsidR="00AB3CEA">
        <w:rPr>
          <w:rFonts w:cs="Arial"/>
          <w:lang w:val="en-US"/>
        </w:rPr>
        <w:t>,</w:t>
      </w:r>
      <w:r w:rsidRPr="00D76D5C">
        <w:rPr>
          <w:rFonts w:cs="Arial"/>
          <w:lang w:val="en-US"/>
        </w:rPr>
        <w:t xml:space="preserve"> and independence from </w:t>
      </w:r>
      <w:r w:rsidR="00AB3CEA" w:rsidRPr="00D76D5C">
        <w:rPr>
          <w:rFonts w:cs="Arial"/>
          <w:lang w:val="en-US"/>
        </w:rPr>
        <w:t>colonial</w:t>
      </w:r>
      <w:r w:rsidR="00AB3CEA">
        <w:rPr>
          <w:rFonts w:cs="Arial"/>
          <w:lang w:val="en-US"/>
        </w:rPr>
        <w:t xml:space="preserve"> forces,</w:t>
      </w:r>
      <w:r w:rsidR="00AB3CEA" w:rsidRPr="00D76D5C">
        <w:rPr>
          <w:rFonts w:cs="Arial"/>
          <w:lang w:val="en-US"/>
        </w:rPr>
        <w:t xml:space="preserve"> </w:t>
      </w:r>
      <w:r w:rsidRPr="00D76D5C">
        <w:rPr>
          <w:rFonts w:cs="Arial"/>
          <w:lang w:val="en-US"/>
        </w:rPr>
        <w:t xml:space="preserve">as well as a broader right to resist </w:t>
      </w:r>
      <w:r w:rsidR="00AB3CEA">
        <w:rPr>
          <w:rFonts w:cs="Arial"/>
          <w:lang w:val="en-US"/>
        </w:rPr>
        <w:t xml:space="preserve">as is </w:t>
      </w:r>
      <w:r w:rsidRPr="00D76D5C">
        <w:rPr>
          <w:rFonts w:cs="Arial"/>
        </w:rPr>
        <w:t>included in the African Charter on Human and Peoples’ Rights</w:t>
      </w:r>
      <w:r w:rsidRPr="00D76D5C">
        <w:rPr>
          <w:rFonts w:cs="Arial"/>
          <w:lang w:val="en-US"/>
        </w:rPr>
        <w:t xml:space="preserve"> (</w:t>
      </w:r>
      <w:r w:rsidR="00AB3CEA">
        <w:rPr>
          <w:rFonts w:cs="Arial"/>
          <w:lang w:val="en-US"/>
        </w:rPr>
        <w:t>“</w:t>
      </w:r>
      <w:r w:rsidRPr="00710F11">
        <w:rPr>
          <w:rFonts w:cs="Arial"/>
          <w:b/>
        </w:rPr>
        <w:t>African Charter</w:t>
      </w:r>
      <w:r w:rsidR="00AB3CEA">
        <w:rPr>
          <w:rFonts w:cs="Arial"/>
        </w:rPr>
        <w:t>”</w:t>
      </w:r>
      <w:r w:rsidRPr="00D76D5C">
        <w:rPr>
          <w:rFonts w:cs="Arial"/>
        </w:rPr>
        <w:t>).</w:t>
      </w:r>
    </w:p>
    <w:p w:rsidR="00AA04D2" w:rsidRPr="00D76D5C" w:rsidRDefault="00AC769A" w:rsidP="00AA04D2">
      <w:pPr>
        <w:pStyle w:val="WWList3"/>
        <w:rPr>
          <w:rFonts w:cs="Arial"/>
          <w:lang w:val="en-US"/>
        </w:rPr>
      </w:pPr>
      <w:r w:rsidRPr="00D76D5C">
        <w:rPr>
          <w:rFonts w:cs="Arial"/>
        </w:rPr>
        <w:t>Despite a general exception under</w:t>
      </w:r>
      <w:r w:rsidR="00AB3CEA">
        <w:rPr>
          <w:rFonts w:cs="Arial"/>
        </w:rPr>
        <w:t xml:space="preserve"> section</w:t>
      </w:r>
      <w:r w:rsidRPr="00D76D5C">
        <w:rPr>
          <w:rFonts w:cs="Arial"/>
        </w:rPr>
        <w:t xml:space="preserve"> 1(4) for acts of freedom fight</w:t>
      </w:r>
      <w:r w:rsidR="00AB3CEA">
        <w:rPr>
          <w:rFonts w:cs="Arial"/>
        </w:rPr>
        <w:t>er</w:t>
      </w:r>
      <w:r w:rsidRPr="00D76D5C">
        <w:rPr>
          <w:rFonts w:cs="Arial"/>
        </w:rPr>
        <w:t>s, any act</w:t>
      </w:r>
      <w:r w:rsidR="00AB3CEA">
        <w:rPr>
          <w:rFonts w:cs="Arial"/>
        </w:rPr>
        <w:t>s</w:t>
      </w:r>
      <w:r w:rsidRPr="00D76D5C">
        <w:rPr>
          <w:rFonts w:cs="Arial"/>
        </w:rPr>
        <w:t xml:space="preserve"> that </w:t>
      </w:r>
      <w:r w:rsidR="00AB3CEA">
        <w:rPr>
          <w:rFonts w:cs="Arial"/>
        </w:rPr>
        <w:t xml:space="preserve">may qualify under one of </w:t>
      </w:r>
      <w:r w:rsidR="00BC5A8B">
        <w:rPr>
          <w:rFonts w:cs="Arial"/>
        </w:rPr>
        <w:t>the</w:t>
      </w:r>
      <w:r w:rsidR="00AB3CEA">
        <w:rPr>
          <w:rFonts w:cs="Arial"/>
        </w:rPr>
        <w:t xml:space="preserve"> exceptions is still subject to the constrains of </w:t>
      </w:r>
      <w:r w:rsidRPr="00D76D5C">
        <w:rPr>
          <w:rFonts w:cs="Arial"/>
        </w:rPr>
        <w:t xml:space="preserve">international law, </w:t>
      </w:r>
      <w:r w:rsidR="00AB3CEA">
        <w:rPr>
          <w:rFonts w:cs="Arial"/>
        </w:rPr>
        <w:t>and in particular</w:t>
      </w:r>
      <w:r w:rsidRPr="00D76D5C">
        <w:rPr>
          <w:rFonts w:cs="Arial"/>
        </w:rPr>
        <w:t xml:space="preserve"> international humanitarian law.</w:t>
      </w:r>
    </w:p>
    <w:p w:rsidR="00AA04D2" w:rsidRPr="00D76D5C" w:rsidRDefault="00AB3CEA" w:rsidP="00AA04D2">
      <w:pPr>
        <w:pStyle w:val="WWList2"/>
        <w:rPr>
          <w:rFonts w:cs="Arial"/>
        </w:rPr>
      </w:pPr>
      <w:r>
        <w:rPr>
          <w:rFonts w:cs="Arial"/>
        </w:rPr>
        <w:t>S</w:t>
      </w:r>
      <w:r w:rsidR="00AC769A" w:rsidRPr="00D76D5C">
        <w:rPr>
          <w:rFonts w:cs="Arial"/>
        </w:rPr>
        <w:t>hould the Court find that Mr.</w:t>
      </w:r>
      <w:r w:rsidR="00AA04D2" w:rsidRPr="00D76D5C">
        <w:rPr>
          <w:rFonts w:cs="Arial"/>
        </w:rPr>
        <w:t> </w:t>
      </w:r>
      <w:r w:rsidR="00AC769A" w:rsidRPr="00D76D5C">
        <w:rPr>
          <w:rFonts w:cs="Arial"/>
        </w:rPr>
        <w:t xml:space="preserve">Okah’s argument regarding the applicability of section 1(4) </w:t>
      </w:r>
      <w:r w:rsidR="00A376A1">
        <w:rPr>
          <w:rFonts w:cs="Arial"/>
        </w:rPr>
        <w:t xml:space="preserve">to his particular circumstances </w:t>
      </w:r>
      <w:r w:rsidR="00AC769A" w:rsidRPr="00D76D5C">
        <w:rPr>
          <w:rFonts w:cs="Arial"/>
        </w:rPr>
        <w:t>ha</w:t>
      </w:r>
      <w:r w:rsidR="00A376A1">
        <w:rPr>
          <w:rFonts w:cs="Arial"/>
        </w:rPr>
        <w:t>ve</w:t>
      </w:r>
      <w:r w:rsidR="00AC769A" w:rsidRPr="00D76D5C">
        <w:rPr>
          <w:rFonts w:cs="Arial"/>
        </w:rPr>
        <w:t xml:space="preserve"> merit</w:t>
      </w:r>
      <w:r w:rsidR="00A376A1">
        <w:rPr>
          <w:rFonts w:cs="Arial"/>
        </w:rPr>
        <w:t>, it may be more appropriate that the matter is subject to</w:t>
      </w:r>
      <w:r w:rsidR="00AC769A" w:rsidRPr="00D76D5C">
        <w:rPr>
          <w:rFonts w:cs="Arial"/>
        </w:rPr>
        <w:t xml:space="preserve"> additional fact-finding.</w:t>
      </w:r>
    </w:p>
    <w:p w:rsidR="00AA04D2" w:rsidRPr="00D76D5C" w:rsidRDefault="00AC769A" w:rsidP="00AA04D2">
      <w:pPr>
        <w:pStyle w:val="WWBodyText"/>
        <w:keepNext/>
        <w:rPr>
          <w:rFonts w:cs="Arial"/>
          <w:b/>
        </w:rPr>
      </w:pPr>
      <w:r w:rsidRPr="00D76D5C">
        <w:rPr>
          <w:rFonts w:cs="Arial"/>
          <w:b/>
        </w:rPr>
        <w:t>DEFINITION OF THE CRIME OF TERRORISM</w:t>
      </w:r>
    </w:p>
    <w:p w:rsidR="00AA04D2" w:rsidRPr="00D76D5C" w:rsidRDefault="00AC769A" w:rsidP="00AA04D2">
      <w:pPr>
        <w:pStyle w:val="WWList1"/>
        <w:rPr>
          <w:rFonts w:cs="Arial"/>
        </w:rPr>
      </w:pPr>
      <w:r w:rsidRPr="00D76D5C">
        <w:rPr>
          <w:rFonts w:cs="Arial"/>
        </w:rPr>
        <w:t>Internationally, there is lack of consensus on the precise definition of the crime of terrorism.</w:t>
      </w:r>
      <w:r w:rsidRPr="00D76D5C">
        <w:rPr>
          <w:rStyle w:val="FootnoteReference"/>
          <w:rFonts w:cs="Arial"/>
        </w:rPr>
        <w:footnoteReference w:id="3"/>
      </w:r>
      <w:r w:rsidRPr="00D76D5C">
        <w:rPr>
          <w:rFonts w:cs="Arial"/>
        </w:rPr>
        <w:t xml:space="preserve">  That notwithstanding, a trial court is obliged to analyse a statute’s language and factual context to establish whether,</w:t>
      </w:r>
      <w:r w:rsidR="00A376A1">
        <w:rPr>
          <w:rStyle w:val="FootnoteReference"/>
        </w:rPr>
        <w:footnoteReference w:id="4"/>
      </w:r>
      <w:r w:rsidRPr="00D76D5C">
        <w:rPr>
          <w:rFonts w:cs="Arial"/>
        </w:rPr>
        <w:t xml:space="preserve"> in all circumstances of the case, the crime of terrorism has been proven.</w:t>
      </w:r>
    </w:p>
    <w:p w:rsidR="00AA04D2" w:rsidRPr="00D76D5C" w:rsidRDefault="00AC769A" w:rsidP="00AA04D2">
      <w:pPr>
        <w:pStyle w:val="WWList1"/>
        <w:rPr>
          <w:rFonts w:cs="Arial"/>
        </w:rPr>
      </w:pPr>
      <w:r w:rsidRPr="00D76D5C">
        <w:rPr>
          <w:rFonts w:cs="Arial"/>
        </w:rPr>
        <w:t xml:space="preserve">The Terrorism Act was enacted, </w:t>
      </w:r>
      <w:r w:rsidRPr="00D76D5C">
        <w:rPr>
          <w:rFonts w:cs="Arial"/>
          <w:i/>
        </w:rPr>
        <w:t>inter alia</w:t>
      </w:r>
      <w:r w:rsidRPr="00D76D5C">
        <w:rPr>
          <w:rFonts w:cs="Arial"/>
        </w:rPr>
        <w:t>, to provide measures to prevent and combat terrorism and related activities; to provide for an offence of terrorism and other offences associated or connected with terrorist activities and to give effect to international instruments dealing with terrorist activities, among others.</w:t>
      </w:r>
      <w:r w:rsidRPr="00D76D5C">
        <w:rPr>
          <w:rStyle w:val="FootnoteReference"/>
          <w:rFonts w:cs="Arial"/>
        </w:rPr>
        <w:footnoteReference w:id="5"/>
      </w:r>
    </w:p>
    <w:p w:rsidR="00AA04D2" w:rsidRPr="00D76D5C" w:rsidRDefault="00AC769A" w:rsidP="00AA04D2">
      <w:pPr>
        <w:pStyle w:val="WWList1"/>
        <w:rPr>
          <w:rFonts w:cs="Arial"/>
        </w:rPr>
      </w:pPr>
      <w:r w:rsidRPr="00D76D5C">
        <w:rPr>
          <w:rFonts w:cs="Arial"/>
        </w:rPr>
        <w:t>The Act gives effect to three international instruments, namely, the United Nations Security Council Resolution 1373/2001; the Convention for the Prevention and Combating of Terrorism adopted by the Organisation of African Unity</w:t>
      </w:r>
      <w:r w:rsidR="00A376A1">
        <w:rPr>
          <w:rFonts w:cs="Arial"/>
        </w:rPr>
        <w:t>,</w:t>
      </w:r>
      <w:r w:rsidRPr="00D76D5C">
        <w:rPr>
          <w:rFonts w:cs="Arial"/>
        </w:rPr>
        <w:t xml:space="preserve"> and a number of other instruments of the United Nations on the subject of terrorism.</w:t>
      </w:r>
      <w:r w:rsidRPr="00D76D5C">
        <w:rPr>
          <w:rStyle w:val="FootnoteReference"/>
          <w:rFonts w:cs="Arial"/>
        </w:rPr>
        <w:footnoteReference w:id="6"/>
      </w:r>
      <w:r w:rsidRPr="00D76D5C">
        <w:rPr>
          <w:rFonts w:cs="Arial"/>
        </w:rPr>
        <w:t xml:space="preserve"> Although, all these instruments deal with different subject matters related to terrorism, they all prohibit terrorist activities in various forms.</w:t>
      </w:r>
    </w:p>
    <w:p w:rsidR="00AA04D2" w:rsidRPr="00D76D5C" w:rsidRDefault="00AC769A" w:rsidP="00AA04D2">
      <w:pPr>
        <w:pStyle w:val="WWList1"/>
        <w:rPr>
          <w:rFonts w:cs="Arial"/>
        </w:rPr>
      </w:pPr>
      <w:r w:rsidRPr="00D76D5C">
        <w:rPr>
          <w:rFonts w:cs="Arial"/>
        </w:rPr>
        <w:t xml:space="preserve">The Terrorism Act provides for the offence of terrorism and associated or connected offences under Part 1; Convention offences under Part 2; and other offences under Part 3. Although the Terrorism Act provides for different categories of crimes, the definition of the crime of terrorism as established under international and comparative law can help inform the Terrorism Act’s </w:t>
      </w:r>
      <w:r w:rsidR="00A376A1">
        <w:rPr>
          <w:rFonts w:cs="Arial"/>
        </w:rPr>
        <w:t xml:space="preserve">applicability with respect to alleged acts of terrorism </w:t>
      </w:r>
      <w:r w:rsidR="00BC5A8B">
        <w:rPr>
          <w:rFonts w:cs="Arial"/>
        </w:rPr>
        <w:t>committed</w:t>
      </w:r>
      <w:r w:rsidR="00A376A1">
        <w:rPr>
          <w:rFonts w:cs="Arial"/>
        </w:rPr>
        <w:t xml:space="preserve"> by</w:t>
      </w:r>
      <w:r w:rsidRPr="00D76D5C">
        <w:rPr>
          <w:rFonts w:cs="Arial"/>
        </w:rPr>
        <w:t xml:space="preserve"> freedom fighters. </w:t>
      </w:r>
    </w:p>
    <w:p w:rsidR="00AA04D2" w:rsidRPr="00D76D5C" w:rsidRDefault="00AC769A" w:rsidP="00AA04D2">
      <w:pPr>
        <w:pStyle w:val="WWList1"/>
        <w:rPr>
          <w:rFonts w:cs="Arial"/>
        </w:rPr>
      </w:pPr>
      <w:r w:rsidRPr="00D76D5C">
        <w:rPr>
          <w:rFonts w:cs="Arial"/>
        </w:rPr>
        <w:t>The Special Tribunal for Lebanon’s Appeal Chamber (</w:t>
      </w:r>
      <w:r w:rsidR="00AA04D2" w:rsidRPr="00D76D5C">
        <w:rPr>
          <w:rFonts w:cs="Arial"/>
        </w:rPr>
        <w:t>"</w:t>
      </w:r>
      <w:r w:rsidRPr="00D76D5C">
        <w:rPr>
          <w:rFonts w:cs="Arial"/>
          <w:b/>
        </w:rPr>
        <w:t>the STL</w:t>
      </w:r>
      <w:r w:rsidR="00AA04D2" w:rsidRPr="00D76D5C">
        <w:rPr>
          <w:rFonts w:cs="Arial"/>
        </w:rPr>
        <w:t>"</w:t>
      </w:r>
      <w:r w:rsidRPr="00D76D5C">
        <w:rPr>
          <w:rFonts w:cs="Arial"/>
        </w:rPr>
        <w:t xml:space="preserve">) in the </w:t>
      </w:r>
      <w:r w:rsidRPr="00D76D5C">
        <w:rPr>
          <w:rFonts w:cs="Arial"/>
          <w:i/>
        </w:rPr>
        <w:t xml:space="preserve">Interlocutory Decision on the applicable Law: Terrorism, Conspiracy, Homicide, Perpetration, Cumulative Charging </w:t>
      </w:r>
      <w:r w:rsidRPr="00D76D5C">
        <w:rPr>
          <w:rFonts w:cs="Arial"/>
        </w:rPr>
        <w:t>case</w:t>
      </w:r>
      <w:r w:rsidRPr="00D76D5C">
        <w:rPr>
          <w:rStyle w:val="FootnoteReference"/>
          <w:rFonts w:cs="Arial"/>
        </w:rPr>
        <w:footnoteReference w:id="7"/>
      </w:r>
      <w:r w:rsidRPr="00D76D5C">
        <w:rPr>
          <w:rFonts w:cs="Arial"/>
        </w:rPr>
        <w:t xml:space="preserve"> made the following remarks:</w:t>
      </w:r>
    </w:p>
    <w:p w:rsidR="00AA04D2" w:rsidRPr="00710F11" w:rsidRDefault="00AA04D2"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sz w:val="20"/>
          <w:szCs w:val="20"/>
        </w:rPr>
        <w:t>…although it is held by many scholars and other legal experts that no widely accepted definition of terrorism has evolved in the world society because of marked difference of views on some issues, closer scrutiny demonstrates that in fact such a definition has gradually emerged.</w:t>
      </w:r>
      <w:r w:rsidRPr="00710F11">
        <w:rPr>
          <w:rFonts w:cs="Arial"/>
          <w:sz w:val="20"/>
          <w:szCs w:val="20"/>
        </w:rPr>
        <w:t>"</w:t>
      </w:r>
      <w:r w:rsidR="00AC769A" w:rsidRPr="00710F11">
        <w:rPr>
          <w:rStyle w:val="FootnoteReference"/>
          <w:rFonts w:cs="Arial"/>
          <w:sz w:val="20"/>
          <w:szCs w:val="20"/>
        </w:rPr>
        <w:footnoteReference w:id="8"/>
      </w:r>
    </w:p>
    <w:p w:rsidR="00AA04D2" w:rsidRDefault="00AC769A" w:rsidP="00AA04D2">
      <w:pPr>
        <w:pStyle w:val="WWList1"/>
        <w:rPr>
          <w:rFonts w:cs="Arial"/>
        </w:rPr>
      </w:pPr>
      <w:r w:rsidRPr="00D76D5C">
        <w:rPr>
          <w:rFonts w:cs="Arial"/>
        </w:rPr>
        <w:t xml:space="preserve">The STL arrived at this conclusion after looking at </w:t>
      </w:r>
      <w:r w:rsidR="004F5B8A" w:rsidRPr="00D76D5C">
        <w:rPr>
          <w:rFonts w:cs="Arial"/>
        </w:rPr>
        <w:t>"</w:t>
      </w:r>
      <w:r w:rsidRPr="00D76D5C">
        <w:rPr>
          <w:rFonts w:cs="Arial"/>
        </w:rPr>
        <w:t>a number of treaties, UN resolutions, and the legislative and judicial practice of States</w:t>
      </w:r>
      <w:r w:rsidR="004F5B8A" w:rsidRPr="00D76D5C">
        <w:rPr>
          <w:rFonts w:cs="Arial"/>
        </w:rPr>
        <w:t>"</w:t>
      </w:r>
      <w:r w:rsidRPr="00D76D5C">
        <w:rPr>
          <w:rStyle w:val="FootnoteReference"/>
          <w:rFonts w:cs="Arial"/>
        </w:rPr>
        <w:footnoteReference w:id="9"/>
      </w:r>
      <w:r w:rsidRPr="00D76D5C">
        <w:rPr>
          <w:rFonts w:cs="Arial"/>
        </w:rPr>
        <w:t xml:space="preserve"> as demonstrating that the definition of the crime of terrorism is in fact settled under customary international law. According to the STL, terrorism is defined by the following three key elements:</w:t>
      </w:r>
    </w:p>
    <w:p w:rsidR="008E14A1" w:rsidRPr="00D76D5C" w:rsidRDefault="008E14A1" w:rsidP="00710F11">
      <w:pPr>
        <w:pStyle w:val="WWList1"/>
        <w:numPr>
          <w:ilvl w:val="0"/>
          <w:numId w:val="0"/>
        </w:numPr>
        <w:ind w:left="567"/>
        <w:rPr>
          <w:rFonts w:cs="Arial"/>
        </w:rPr>
      </w:pPr>
    </w:p>
    <w:p w:rsidR="00AA04D2" w:rsidRPr="00710F11" w:rsidRDefault="00AA04D2" w:rsidP="00710F11">
      <w:pPr>
        <w:pStyle w:val="WWBodyText2"/>
        <w:tabs>
          <w:tab w:val="clear" w:pos="3402"/>
          <w:tab w:val="left" w:pos="1701"/>
        </w:tabs>
        <w:spacing w:line="360" w:lineRule="auto"/>
        <w:ind w:left="1701" w:right="404" w:hanging="567"/>
        <w:rPr>
          <w:rFonts w:cs="Arial"/>
          <w:sz w:val="20"/>
          <w:szCs w:val="20"/>
        </w:rPr>
      </w:pPr>
      <w:r w:rsidRPr="00710F11">
        <w:rPr>
          <w:rFonts w:cs="Arial"/>
          <w:sz w:val="20"/>
          <w:szCs w:val="20"/>
        </w:rPr>
        <w:t>"</w:t>
      </w:r>
      <w:r w:rsidR="00AC769A" w:rsidRPr="00710F11">
        <w:rPr>
          <w:rFonts w:cs="Arial"/>
          <w:sz w:val="20"/>
          <w:szCs w:val="20"/>
        </w:rPr>
        <w:t>(i)</w:t>
      </w:r>
      <w:r w:rsidRPr="00710F11">
        <w:rPr>
          <w:rFonts w:cs="Arial"/>
          <w:sz w:val="20"/>
          <w:szCs w:val="20"/>
        </w:rPr>
        <w:tab/>
      </w:r>
      <w:r w:rsidR="00AC769A" w:rsidRPr="00710F11">
        <w:rPr>
          <w:rFonts w:cs="Arial"/>
          <w:sz w:val="20"/>
          <w:szCs w:val="20"/>
        </w:rPr>
        <w:t xml:space="preserve">…the </w:t>
      </w:r>
      <w:r w:rsidR="00AC769A" w:rsidRPr="00710F11">
        <w:rPr>
          <w:rFonts w:cs="Arial"/>
          <w:sz w:val="20"/>
          <w:szCs w:val="20"/>
          <w:u w:val="single"/>
        </w:rPr>
        <w:t>perpetration of a criminal act</w:t>
      </w:r>
      <w:r w:rsidR="00AC769A" w:rsidRPr="00710F11">
        <w:rPr>
          <w:rFonts w:cs="Arial"/>
          <w:sz w:val="20"/>
          <w:szCs w:val="20"/>
        </w:rPr>
        <w:t xml:space="preserve"> (such as murder, kidnapping, hostage-taking, arson, and so on), </w:t>
      </w:r>
      <w:r w:rsidR="00AC769A" w:rsidRPr="00710F11">
        <w:rPr>
          <w:rFonts w:cs="Arial"/>
          <w:sz w:val="20"/>
          <w:szCs w:val="20"/>
          <w:u w:val="single"/>
        </w:rPr>
        <w:t>or threatening such an act</w:t>
      </w:r>
      <w:r w:rsidR="00AC769A" w:rsidRPr="00710F11">
        <w:rPr>
          <w:rFonts w:cs="Arial"/>
          <w:sz w:val="20"/>
          <w:szCs w:val="20"/>
        </w:rPr>
        <w:t xml:space="preserve">; (ii) the </w:t>
      </w:r>
      <w:r w:rsidR="00AC769A" w:rsidRPr="00710F11">
        <w:rPr>
          <w:rFonts w:cs="Arial"/>
          <w:sz w:val="20"/>
          <w:szCs w:val="20"/>
          <w:u w:val="single"/>
        </w:rPr>
        <w:t>intent to spread fear among the population</w:t>
      </w:r>
      <w:r w:rsidR="00AC769A" w:rsidRPr="00710F11">
        <w:rPr>
          <w:rFonts w:cs="Arial"/>
          <w:sz w:val="20"/>
          <w:szCs w:val="20"/>
        </w:rPr>
        <w:t xml:space="preserve"> (which would generally entail the creation of public danger) or </w:t>
      </w:r>
      <w:r w:rsidR="00AC769A" w:rsidRPr="00710F11">
        <w:rPr>
          <w:rFonts w:cs="Arial"/>
          <w:sz w:val="20"/>
          <w:szCs w:val="20"/>
          <w:u w:val="single"/>
        </w:rPr>
        <w:t>directly or indirectly coerce a national or international authority to take some action, or to refrain from taking it</w:t>
      </w:r>
      <w:r w:rsidR="00AC769A" w:rsidRPr="00710F11">
        <w:rPr>
          <w:rFonts w:cs="Arial"/>
          <w:sz w:val="20"/>
          <w:szCs w:val="20"/>
        </w:rPr>
        <w:t xml:space="preserve">; (iii) </w:t>
      </w:r>
      <w:r w:rsidR="00AC769A" w:rsidRPr="00710F11">
        <w:rPr>
          <w:rFonts w:cs="Arial"/>
          <w:sz w:val="20"/>
          <w:szCs w:val="20"/>
          <w:u w:val="single"/>
        </w:rPr>
        <w:t>when the act involves a transnational element</w:t>
      </w:r>
      <w:r w:rsidR="00AC769A" w:rsidRPr="00710F11">
        <w:rPr>
          <w:rFonts w:cs="Arial"/>
          <w:sz w:val="20"/>
          <w:szCs w:val="20"/>
        </w:rPr>
        <w:t>.</w:t>
      </w:r>
      <w:r w:rsidRPr="00710F11">
        <w:rPr>
          <w:rFonts w:cs="Arial"/>
          <w:sz w:val="20"/>
          <w:szCs w:val="20"/>
        </w:rPr>
        <w:t>"</w:t>
      </w:r>
      <w:r w:rsidR="00AC769A" w:rsidRPr="00710F11">
        <w:rPr>
          <w:rStyle w:val="FootnoteReference"/>
          <w:rFonts w:cs="Arial"/>
          <w:sz w:val="20"/>
          <w:szCs w:val="20"/>
        </w:rPr>
        <w:footnoteReference w:id="10"/>
      </w:r>
      <w:r w:rsidR="008E14A1">
        <w:rPr>
          <w:rFonts w:cs="Arial"/>
          <w:sz w:val="20"/>
          <w:szCs w:val="20"/>
        </w:rPr>
        <w:t xml:space="preserve"> (own emphasis)</w:t>
      </w:r>
    </w:p>
    <w:p w:rsidR="00AA04D2" w:rsidRPr="00D76D5C" w:rsidRDefault="00AC769A" w:rsidP="00AA04D2">
      <w:pPr>
        <w:pStyle w:val="WWList1"/>
        <w:rPr>
          <w:rFonts w:cs="Arial"/>
        </w:rPr>
      </w:pPr>
      <w:r w:rsidRPr="00D76D5C">
        <w:rPr>
          <w:rFonts w:cs="Arial"/>
        </w:rPr>
        <w:t xml:space="preserve">Most significantly, the STL observed that the particular means used in an attack were not dispositive in determining whether an attack is terrorism or simply murder. </w:t>
      </w:r>
      <w:r w:rsidR="008E14A1">
        <w:rPr>
          <w:rFonts w:cs="Arial"/>
        </w:rPr>
        <w:t xml:space="preserve">In other words, </w:t>
      </w:r>
      <w:r w:rsidRPr="00D76D5C">
        <w:rPr>
          <w:rFonts w:cs="Arial"/>
        </w:rPr>
        <w:t>the weapons used</w:t>
      </w:r>
      <w:r w:rsidR="008E14A1">
        <w:rPr>
          <w:rFonts w:cs="Arial"/>
        </w:rPr>
        <w:t xml:space="preserve"> or the means employed to carry out such acts may </w:t>
      </w:r>
      <w:r w:rsidRPr="00D76D5C">
        <w:rPr>
          <w:rFonts w:cs="Arial"/>
        </w:rPr>
        <w:t>nevertheless fall within the definition of the crime.</w:t>
      </w:r>
      <w:r w:rsidRPr="00D76D5C">
        <w:rPr>
          <w:rStyle w:val="FootnoteReference"/>
          <w:rFonts w:cs="Arial"/>
        </w:rPr>
        <w:footnoteReference w:id="11"/>
      </w:r>
      <w:r w:rsidRPr="00D76D5C">
        <w:rPr>
          <w:rFonts w:cs="Arial"/>
        </w:rPr>
        <w:t xml:space="preserve"> </w:t>
      </w:r>
    </w:p>
    <w:p w:rsidR="00AA04D2" w:rsidRPr="00D76D5C" w:rsidRDefault="00AC769A" w:rsidP="00AA04D2">
      <w:pPr>
        <w:pStyle w:val="WWList1"/>
        <w:keepNext/>
        <w:rPr>
          <w:rFonts w:cs="Arial"/>
        </w:rPr>
      </w:pPr>
      <w:r w:rsidRPr="00D76D5C">
        <w:rPr>
          <w:rFonts w:cs="Arial"/>
        </w:rPr>
        <w:t xml:space="preserve">A number of national courts have also recognised the existence of the crime of terrorism under customary international law. The Supreme Court of Canada in the case </w:t>
      </w:r>
      <w:r w:rsidRPr="00710F11">
        <w:rPr>
          <w:rFonts w:cs="Arial"/>
          <w:b/>
        </w:rPr>
        <w:t>Suresh v Canada (Minister of Citizenship and Immigration)</w:t>
      </w:r>
      <w:r w:rsidRPr="00710F11">
        <w:rPr>
          <w:rStyle w:val="FootnoteReference"/>
          <w:rFonts w:cs="Arial"/>
        </w:rPr>
        <w:footnoteReference w:id="12"/>
      </w:r>
      <w:r w:rsidR="008E14A1">
        <w:rPr>
          <w:rFonts w:cs="Arial"/>
          <w:i/>
        </w:rPr>
        <w:t xml:space="preserve"> </w:t>
      </w:r>
      <w:r w:rsidRPr="00D76D5C">
        <w:rPr>
          <w:rFonts w:cs="Arial"/>
        </w:rPr>
        <w:t>said the following:</w:t>
      </w:r>
    </w:p>
    <w:p w:rsidR="00AA04D2" w:rsidRPr="00710F11" w:rsidRDefault="00AA04D2"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i/>
          <w:sz w:val="20"/>
          <w:szCs w:val="20"/>
        </w:rPr>
        <w:t xml:space="preserve">We are </w:t>
      </w:r>
      <w:r w:rsidR="00AC769A" w:rsidRPr="00710F11">
        <w:rPr>
          <w:rFonts w:cs="Arial"/>
          <w:i/>
          <w:sz w:val="20"/>
          <w:szCs w:val="20"/>
          <w:u w:val="single"/>
        </w:rPr>
        <w:t>not persuaded…that the term ‘terrorism’ is so unsettled that it cannot set the proper boundaries of legal adjudicatio</w:t>
      </w:r>
      <w:r w:rsidR="00AC769A" w:rsidRPr="00710F11">
        <w:rPr>
          <w:rFonts w:cs="Arial"/>
          <w:i/>
          <w:sz w:val="20"/>
          <w:szCs w:val="20"/>
        </w:rPr>
        <w:t xml:space="preserve">n. The recently negotiated International Convention for the Suppression on the Financing of Terrorism, G.A. Res. 54/109, December 9, 1999, approaches the definitional problem in two ways: First, it employs a functional definition in </w:t>
      </w:r>
      <w:r w:rsidR="00AC769A" w:rsidRPr="00710F11">
        <w:rPr>
          <w:rFonts w:cs="Arial"/>
          <w:i/>
          <w:sz w:val="20"/>
          <w:szCs w:val="20"/>
          <w:u w:val="single"/>
        </w:rPr>
        <w:t xml:space="preserve">Article 2(a), defining </w:t>
      </w:r>
      <w:r w:rsidRPr="00710F11">
        <w:rPr>
          <w:rFonts w:cs="Arial"/>
          <w:i/>
          <w:sz w:val="20"/>
          <w:szCs w:val="20"/>
          <w:u w:val="single"/>
        </w:rPr>
        <w:t xml:space="preserve">‘terrorism’ as ‘[a]n act which </w:t>
      </w:r>
      <w:r w:rsidR="00AC769A" w:rsidRPr="00710F11">
        <w:rPr>
          <w:rFonts w:cs="Arial"/>
          <w:i/>
          <w:sz w:val="20"/>
          <w:szCs w:val="20"/>
          <w:u w:val="single"/>
        </w:rPr>
        <w:t>constitutes an offence within the scope of and as defined in one of the treaties listed in annex’ … Second, the Convention supplements this offence-based list with a stipulative definition of terrorism. Article 2 (1) (b) defines ‘terrorism’ as ‘Any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r w:rsidR="00AC769A" w:rsidRPr="00710F11">
        <w:rPr>
          <w:rFonts w:cs="Arial"/>
          <w:i/>
          <w:sz w:val="20"/>
          <w:szCs w:val="20"/>
        </w:rPr>
        <w:t xml:space="preserve"> …This definition catches the essence of what we understand by ‘terrorism’</w:t>
      </w:r>
      <w:r w:rsidR="00AC769A" w:rsidRPr="00710F11">
        <w:rPr>
          <w:rFonts w:cs="Arial"/>
          <w:sz w:val="20"/>
          <w:szCs w:val="20"/>
        </w:rPr>
        <w:t>.</w:t>
      </w:r>
      <w:r w:rsidRPr="00710F11">
        <w:rPr>
          <w:rFonts w:cs="Arial"/>
          <w:sz w:val="20"/>
          <w:szCs w:val="20"/>
        </w:rPr>
        <w:t>"</w:t>
      </w:r>
      <w:r w:rsidR="00AC769A" w:rsidRPr="00710F11">
        <w:rPr>
          <w:rStyle w:val="FootnoteReference"/>
          <w:rFonts w:cs="Arial"/>
          <w:sz w:val="20"/>
          <w:szCs w:val="20"/>
        </w:rPr>
        <w:footnoteReference w:id="13"/>
      </w:r>
      <w:r w:rsidR="008E14A1">
        <w:rPr>
          <w:rFonts w:cs="Arial"/>
          <w:sz w:val="20"/>
          <w:szCs w:val="20"/>
        </w:rPr>
        <w:t xml:space="preserve"> (own emphasis)</w:t>
      </w:r>
    </w:p>
    <w:p w:rsidR="00AA04D2" w:rsidRPr="00D76D5C" w:rsidRDefault="00AC769A" w:rsidP="00AA04D2">
      <w:pPr>
        <w:pStyle w:val="WWList1"/>
        <w:rPr>
          <w:rFonts w:cs="Arial"/>
        </w:rPr>
      </w:pPr>
      <w:r w:rsidRPr="00D76D5C">
        <w:rPr>
          <w:rFonts w:cs="Arial"/>
        </w:rPr>
        <w:t xml:space="preserve">The Italian Supreme Court of Cassation in the case of </w:t>
      </w:r>
      <w:r w:rsidRPr="00710F11">
        <w:rPr>
          <w:rFonts w:cs="Arial"/>
          <w:b/>
        </w:rPr>
        <w:t>Bouyahia Maher Ben Abdelaziz et al</w:t>
      </w:r>
      <w:r w:rsidRPr="00D76D5C">
        <w:rPr>
          <w:rFonts w:cs="Arial"/>
          <w:i/>
        </w:rPr>
        <w:t xml:space="preserve">, </w:t>
      </w:r>
      <w:r w:rsidRPr="00D76D5C">
        <w:rPr>
          <w:rFonts w:cs="Arial"/>
        </w:rPr>
        <w:t xml:space="preserve">stated that </w:t>
      </w:r>
      <w:r w:rsidR="00E81F99" w:rsidRPr="00D76D5C">
        <w:rPr>
          <w:rFonts w:cs="Arial"/>
        </w:rPr>
        <w:t>"</w:t>
      </w:r>
      <w:r w:rsidRPr="00D76D5C">
        <w:rPr>
          <w:rFonts w:cs="Arial"/>
          <w:i/>
        </w:rPr>
        <w:t>a rule of customary international law [is] embodied in various resolutions by the UNGA and the UNSC, as well as in the 1997 Convention for the Suppression of Terrorist Bombings</w:t>
      </w:r>
      <w:r w:rsidR="00E81F99" w:rsidRPr="00D76D5C">
        <w:rPr>
          <w:rFonts w:cs="Arial"/>
        </w:rPr>
        <w:t>"</w:t>
      </w:r>
      <w:r w:rsidRPr="00D76D5C">
        <w:rPr>
          <w:rFonts w:cs="Arial"/>
        </w:rPr>
        <w:t>.</w:t>
      </w:r>
      <w:r w:rsidRPr="00D76D5C">
        <w:rPr>
          <w:rStyle w:val="FootnoteReference"/>
          <w:rFonts w:cs="Arial"/>
        </w:rPr>
        <w:footnoteReference w:id="14"/>
      </w:r>
      <w:r w:rsidRPr="00D76D5C">
        <w:rPr>
          <w:rFonts w:cs="Arial"/>
        </w:rPr>
        <w:t xml:space="preserve"> The Court went on to define the purpose of terrorism as the creation of terror in the public through indiscriminate criminal conduct against the general public or against certain individuals because of the function they represent.</w:t>
      </w:r>
      <w:r w:rsidRPr="00D76D5C">
        <w:rPr>
          <w:rStyle w:val="FootnoteReference"/>
          <w:rFonts w:cs="Arial"/>
        </w:rPr>
        <w:footnoteReference w:id="15"/>
      </w:r>
    </w:p>
    <w:p w:rsidR="00AA04D2" w:rsidRPr="00D76D5C" w:rsidRDefault="008E14A1" w:rsidP="00AA04D2">
      <w:pPr>
        <w:pStyle w:val="WWList1"/>
        <w:rPr>
          <w:rFonts w:cs="Arial"/>
        </w:rPr>
      </w:pPr>
      <w:r>
        <w:rPr>
          <w:rFonts w:cs="Arial"/>
        </w:rPr>
        <w:t>Respectfully, this Court could readily construe the</w:t>
      </w:r>
      <w:r w:rsidR="00AC769A" w:rsidRPr="00D76D5C">
        <w:rPr>
          <w:rFonts w:cs="Arial"/>
        </w:rPr>
        <w:t xml:space="preserve"> elements of the crime </w:t>
      </w:r>
      <w:r>
        <w:rPr>
          <w:rFonts w:cs="Arial"/>
        </w:rPr>
        <w:t>of terrorism as being</w:t>
      </w:r>
      <w:r w:rsidR="00AC769A" w:rsidRPr="00D76D5C">
        <w:rPr>
          <w:rFonts w:cs="Arial"/>
        </w:rPr>
        <w:t>: (1) criminal conduct (2)</w:t>
      </w:r>
      <w:r w:rsidR="00E81F99" w:rsidRPr="00D76D5C">
        <w:rPr>
          <w:rFonts w:cs="Arial"/>
        </w:rPr>
        <w:t> </w:t>
      </w:r>
      <w:r w:rsidR="00AC769A" w:rsidRPr="00D76D5C">
        <w:rPr>
          <w:rFonts w:cs="Arial"/>
        </w:rPr>
        <w:t>with the purpose of intimidating the population or compelling the government or other organisation to</w:t>
      </w:r>
      <w:r w:rsidR="00E81F99" w:rsidRPr="00D76D5C">
        <w:rPr>
          <w:rFonts w:cs="Arial"/>
        </w:rPr>
        <w:t xml:space="preserve"> act or to abstain from</w:t>
      </w:r>
      <w:r>
        <w:rPr>
          <w:rFonts w:cs="Arial"/>
        </w:rPr>
        <w:t xml:space="preserve"> taking certain</w:t>
      </w:r>
      <w:r w:rsidR="00E81F99" w:rsidRPr="00D76D5C">
        <w:rPr>
          <w:rFonts w:cs="Arial"/>
        </w:rPr>
        <w:t xml:space="preserve"> action.</w:t>
      </w:r>
    </w:p>
    <w:p w:rsidR="00AA04D2" w:rsidRPr="00D76D5C" w:rsidRDefault="00AC769A" w:rsidP="00AA04D2">
      <w:pPr>
        <w:pStyle w:val="WWList1"/>
        <w:rPr>
          <w:rFonts w:cs="Arial"/>
        </w:rPr>
      </w:pPr>
      <w:r w:rsidRPr="00D76D5C">
        <w:rPr>
          <w:rFonts w:cs="Arial"/>
        </w:rPr>
        <w:t>In addition to the general elements of the crime of terrorism, there is also a question of when such a crime can be committed during armed conflict. Generally, under customary international law, the crime of terrorism is recognised in times of peace.</w:t>
      </w:r>
      <w:r w:rsidRPr="00D76D5C">
        <w:rPr>
          <w:rStyle w:val="FootnoteReference"/>
          <w:rFonts w:cs="Arial"/>
        </w:rPr>
        <w:footnoteReference w:id="16"/>
      </w:r>
      <w:r w:rsidRPr="00D76D5C">
        <w:rPr>
          <w:rFonts w:cs="Arial"/>
        </w:rPr>
        <w:t xml:space="preserve"> The </w:t>
      </w:r>
      <w:r w:rsidR="008E14A1">
        <w:rPr>
          <w:rFonts w:cs="Arial"/>
        </w:rPr>
        <w:t xml:space="preserve">point of </w:t>
      </w:r>
      <w:r w:rsidRPr="00D76D5C">
        <w:rPr>
          <w:rFonts w:cs="Arial"/>
        </w:rPr>
        <w:t>contention is whether customary international law recognises this principle</w:t>
      </w:r>
      <w:r w:rsidR="008E14A1">
        <w:rPr>
          <w:rFonts w:cs="Arial"/>
        </w:rPr>
        <w:t xml:space="preserve"> as being of equal effect</w:t>
      </w:r>
      <w:r w:rsidRPr="00D76D5C">
        <w:rPr>
          <w:rFonts w:cs="Arial"/>
        </w:rPr>
        <w:t xml:space="preserve"> when the acts in question are committed during armed conflict.</w:t>
      </w:r>
    </w:p>
    <w:p w:rsidR="00AA04D2" w:rsidRPr="00D76D5C" w:rsidRDefault="00AC769A" w:rsidP="00E81F99">
      <w:pPr>
        <w:pStyle w:val="WWList1"/>
        <w:keepNext/>
        <w:rPr>
          <w:rFonts w:cs="Arial"/>
        </w:rPr>
      </w:pPr>
      <w:r w:rsidRPr="00D76D5C">
        <w:rPr>
          <w:rFonts w:cs="Arial"/>
        </w:rPr>
        <w:t>Antonio Cassese, an international criminal law expert, stated as follows:</w:t>
      </w:r>
    </w:p>
    <w:p w:rsidR="00AA04D2" w:rsidRPr="00710F11" w:rsidRDefault="00E81F99"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sz w:val="20"/>
          <w:szCs w:val="20"/>
        </w:rPr>
        <w:t xml:space="preserve">Contrary to what many believe, </w:t>
      </w:r>
      <w:r w:rsidR="00AC769A" w:rsidRPr="00710F11">
        <w:rPr>
          <w:rFonts w:cs="Arial"/>
          <w:sz w:val="20"/>
          <w:szCs w:val="20"/>
          <w:u w:val="single"/>
        </w:rPr>
        <w:t>a generally accepted definition of terrorism as an international crime in time of peace does exist. This definition has evolved in the international community at the level of customary law. However, there is still disagreement over whether the definition may also be applied in time of armed conflict, the issue in dispute being in particular whether the acts performed by ‘freedom fighters’ in wars of national liberation may (or should) constitute an exception to the definition</w:t>
      </w:r>
      <w:r w:rsidR="00AC769A" w:rsidRPr="00710F11">
        <w:rPr>
          <w:rFonts w:cs="Arial"/>
          <w:sz w:val="20"/>
          <w:szCs w:val="20"/>
        </w:rPr>
        <w:t>.</w:t>
      </w:r>
      <w:r w:rsidRPr="00710F11">
        <w:rPr>
          <w:rFonts w:cs="Arial"/>
          <w:sz w:val="20"/>
          <w:szCs w:val="20"/>
        </w:rPr>
        <w:t>"</w:t>
      </w:r>
      <w:r w:rsidR="00AC769A" w:rsidRPr="00710F11">
        <w:rPr>
          <w:rStyle w:val="FootnoteReference"/>
          <w:rFonts w:cs="Arial"/>
          <w:sz w:val="20"/>
          <w:szCs w:val="20"/>
        </w:rPr>
        <w:footnoteReference w:id="17"/>
      </w:r>
      <w:r w:rsidR="008E14A1">
        <w:rPr>
          <w:rFonts w:cs="Arial"/>
          <w:sz w:val="20"/>
          <w:szCs w:val="20"/>
        </w:rPr>
        <w:t xml:space="preserve"> (own emphasis)</w:t>
      </w:r>
    </w:p>
    <w:p w:rsidR="00AA04D2" w:rsidRPr="00D76D5C" w:rsidRDefault="00AC769A" w:rsidP="00E81F99">
      <w:pPr>
        <w:pStyle w:val="WWList1"/>
        <w:rPr>
          <w:rFonts w:cs="Arial"/>
        </w:rPr>
      </w:pPr>
      <w:r w:rsidRPr="00D76D5C">
        <w:rPr>
          <w:rFonts w:cs="Arial"/>
        </w:rPr>
        <w:t>The difficulty in distinguishing terrorism from lawful acts committed during an armed conflict lies in the interaction between two different sources of law: domestic criminal law and international humanitarian law. The International Committee of the Red Cross (</w:t>
      </w:r>
      <w:r w:rsidR="008E14A1">
        <w:rPr>
          <w:rFonts w:cs="Arial"/>
        </w:rPr>
        <w:t>“</w:t>
      </w:r>
      <w:r w:rsidRPr="00710F11">
        <w:rPr>
          <w:rFonts w:cs="Arial"/>
          <w:b/>
        </w:rPr>
        <w:t>ICRC</w:t>
      </w:r>
      <w:r w:rsidR="008E14A1">
        <w:rPr>
          <w:rFonts w:cs="Arial"/>
        </w:rPr>
        <w:t>”</w:t>
      </w:r>
      <w:r w:rsidRPr="00D76D5C">
        <w:rPr>
          <w:rFonts w:cs="Arial"/>
        </w:rPr>
        <w:t>) has stated despite the different goals of these two separate sources of the law:</w:t>
      </w:r>
    </w:p>
    <w:p w:rsidR="00AA04D2" w:rsidRPr="00D76D5C" w:rsidRDefault="008E14A1" w:rsidP="00710F11">
      <w:pPr>
        <w:pStyle w:val="WWBodyText2"/>
        <w:spacing w:line="360" w:lineRule="auto"/>
        <w:ind w:right="404"/>
        <w:rPr>
          <w:rFonts w:cs="Arial"/>
          <w:lang w:eastAsia="en-ZA"/>
        </w:rPr>
      </w:pPr>
      <w:r w:rsidRPr="00710F11">
        <w:rPr>
          <w:rFonts w:cs="Arial"/>
          <w:sz w:val="20"/>
          <w:szCs w:val="20"/>
          <w:lang w:eastAsia="en-ZA"/>
        </w:rPr>
        <w:t>“</w:t>
      </w:r>
      <w:r w:rsidR="00AC769A" w:rsidRPr="00710F11">
        <w:rPr>
          <w:rFonts w:cs="Arial"/>
          <w:sz w:val="20"/>
          <w:szCs w:val="20"/>
          <w:lang w:eastAsia="en-ZA"/>
        </w:rPr>
        <w:t xml:space="preserve">[This] does not mean that some overlap cannot be created between the legal regimes governing IHL and terrorism. IHL prohibits both specific acts of terrorism committed in armed conflict and, as war crimes, a range of other acts of violence when committed against civilians or civilian objects. If states choose to additionally designate such acts as </w:t>
      </w:r>
      <w:r w:rsidR="004F5B8A" w:rsidRPr="00710F11">
        <w:rPr>
          <w:rFonts w:cs="Arial"/>
          <w:sz w:val="20"/>
          <w:szCs w:val="20"/>
          <w:lang w:eastAsia="en-ZA"/>
        </w:rPr>
        <w:t>"</w:t>
      </w:r>
      <w:r w:rsidR="00AC769A" w:rsidRPr="00710F11">
        <w:rPr>
          <w:rFonts w:cs="Arial"/>
          <w:sz w:val="20"/>
          <w:szCs w:val="20"/>
          <w:lang w:eastAsia="en-ZA"/>
        </w:rPr>
        <w:t>terrorist</w:t>
      </w:r>
      <w:r w:rsidR="004F5B8A" w:rsidRPr="00710F11">
        <w:rPr>
          <w:rFonts w:cs="Arial"/>
          <w:sz w:val="20"/>
          <w:szCs w:val="20"/>
          <w:lang w:eastAsia="en-ZA"/>
        </w:rPr>
        <w:t>"</w:t>
      </w:r>
      <w:r w:rsidR="00AC769A" w:rsidRPr="00710F11">
        <w:rPr>
          <w:rFonts w:cs="Arial"/>
          <w:sz w:val="20"/>
          <w:szCs w:val="20"/>
          <w:lang w:eastAsia="en-ZA"/>
        </w:rPr>
        <w:t xml:space="preserve"> under international or domestic law, this will in effect duplicate their criminalisation.</w:t>
      </w:r>
      <w:r>
        <w:rPr>
          <w:rFonts w:cs="Arial"/>
          <w:sz w:val="20"/>
          <w:szCs w:val="20"/>
          <w:lang w:eastAsia="en-ZA"/>
        </w:rPr>
        <w:t>”</w:t>
      </w:r>
      <w:r w:rsidR="00AC769A" w:rsidRPr="00D76D5C">
        <w:rPr>
          <w:rStyle w:val="FootnoteReference"/>
          <w:rFonts w:cs="Arial"/>
          <w:lang w:eastAsia="en-ZA"/>
        </w:rPr>
        <w:footnoteReference w:id="18"/>
      </w:r>
    </w:p>
    <w:p w:rsidR="00AA04D2" w:rsidRPr="00D76D5C" w:rsidRDefault="00AC769A" w:rsidP="00E81F99">
      <w:pPr>
        <w:pStyle w:val="WWList1"/>
        <w:rPr>
          <w:rFonts w:cs="Arial"/>
          <w:lang w:eastAsia="en-ZA"/>
        </w:rPr>
      </w:pPr>
      <w:r w:rsidRPr="00D76D5C">
        <w:rPr>
          <w:rFonts w:cs="Arial"/>
          <w:lang w:eastAsia="en-ZA"/>
        </w:rPr>
        <w:t>The ICRC, however, has gone on to say that determining when terrorism law can apply during a conflict depends on a fact-based inquiry into</w:t>
      </w:r>
      <w:r w:rsidR="007C5FA0">
        <w:rPr>
          <w:rFonts w:cs="Arial"/>
          <w:lang w:eastAsia="en-ZA"/>
        </w:rPr>
        <w:t xml:space="preserve">, </w:t>
      </w:r>
      <w:r w:rsidR="007C5FA0">
        <w:rPr>
          <w:rFonts w:cs="Arial"/>
          <w:i/>
          <w:lang w:eastAsia="en-ZA"/>
        </w:rPr>
        <w:t>inter alia</w:t>
      </w:r>
      <w:r w:rsidR="007C5FA0">
        <w:rPr>
          <w:rFonts w:cs="Arial"/>
          <w:lang w:eastAsia="en-ZA"/>
        </w:rPr>
        <w:t>,</w:t>
      </w:r>
      <w:r w:rsidRPr="00D76D5C">
        <w:rPr>
          <w:rFonts w:cs="Arial"/>
          <w:lang w:eastAsia="en-ZA"/>
        </w:rPr>
        <w:t xml:space="preserve"> the type of conflict, the identity of the belligerents, and the identity of the victims: </w:t>
      </w:r>
    </w:p>
    <w:p w:rsidR="00AA04D2" w:rsidRPr="00710F11" w:rsidRDefault="006E7725" w:rsidP="00710F11">
      <w:pPr>
        <w:pStyle w:val="WWBodyText2"/>
        <w:spacing w:line="360" w:lineRule="auto"/>
        <w:ind w:right="404"/>
        <w:rPr>
          <w:rFonts w:cs="Arial"/>
          <w:sz w:val="20"/>
          <w:szCs w:val="20"/>
          <w:lang w:eastAsia="en-ZA"/>
        </w:rPr>
      </w:pPr>
      <w:r>
        <w:rPr>
          <w:rFonts w:cs="Arial"/>
          <w:sz w:val="20"/>
          <w:szCs w:val="20"/>
          <w:lang w:eastAsia="en-ZA"/>
        </w:rPr>
        <w:t>“</w:t>
      </w:r>
      <w:r w:rsidR="00AC769A" w:rsidRPr="00710F11">
        <w:rPr>
          <w:rFonts w:cs="Arial"/>
          <w:sz w:val="20"/>
          <w:szCs w:val="20"/>
          <w:lang w:eastAsia="en-ZA"/>
        </w:rPr>
        <w:t xml:space="preserve">[A]cts that are not prohibited by IHL – such as attacks against military objectives or against individuals not entitled to protection against direct attacks – should not be labelled </w:t>
      </w:r>
      <w:r w:rsidR="004F5B8A" w:rsidRPr="00710F11">
        <w:rPr>
          <w:rFonts w:cs="Arial"/>
          <w:sz w:val="20"/>
          <w:szCs w:val="20"/>
          <w:lang w:eastAsia="en-ZA"/>
        </w:rPr>
        <w:t>"</w:t>
      </w:r>
      <w:r w:rsidR="00AC769A" w:rsidRPr="00710F11">
        <w:rPr>
          <w:rFonts w:cs="Arial"/>
          <w:sz w:val="20"/>
          <w:szCs w:val="20"/>
          <w:lang w:eastAsia="en-ZA"/>
        </w:rPr>
        <w:t>terrorist</w:t>
      </w:r>
      <w:r w:rsidR="004F5B8A" w:rsidRPr="00710F11">
        <w:rPr>
          <w:rFonts w:cs="Arial"/>
          <w:sz w:val="20"/>
          <w:szCs w:val="20"/>
          <w:lang w:eastAsia="en-ZA"/>
        </w:rPr>
        <w:t>"</w:t>
      </w:r>
      <w:r w:rsidR="00AC769A" w:rsidRPr="00710F11">
        <w:rPr>
          <w:rFonts w:cs="Arial"/>
          <w:sz w:val="20"/>
          <w:szCs w:val="20"/>
          <w:lang w:eastAsia="en-ZA"/>
        </w:rPr>
        <w:t xml:space="preserve"> at the international or domestic levels, although they remain subject to ordinary domestic criminalisation where a [non-international armed conflict] is involved. Attacks against lawful targets constitute the very essence of an armed conflict and should not be legally defined as </w:t>
      </w:r>
      <w:r w:rsidR="004F5B8A" w:rsidRPr="00710F11">
        <w:rPr>
          <w:rFonts w:cs="Arial"/>
          <w:sz w:val="20"/>
          <w:szCs w:val="20"/>
          <w:lang w:eastAsia="en-ZA"/>
        </w:rPr>
        <w:t>"</w:t>
      </w:r>
      <w:r w:rsidR="00AC769A" w:rsidRPr="00710F11">
        <w:rPr>
          <w:rFonts w:cs="Arial"/>
          <w:sz w:val="20"/>
          <w:szCs w:val="20"/>
          <w:lang w:eastAsia="en-ZA"/>
        </w:rPr>
        <w:t>terrorist</w:t>
      </w:r>
      <w:r w:rsidR="004F5B8A" w:rsidRPr="00710F11">
        <w:rPr>
          <w:rFonts w:cs="Arial"/>
          <w:sz w:val="20"/>
          <w:szCs w:val="20"/>
          <w:lang w:eastAsia="en-ZA"/>
        </w:rPr>
        <w:t>"</w:t>
      </w:r>
      <w:r w:rsidR="00AC769A" w:rsidRPr="00710F11">
        <w:rPr>
          <w:rFonts w:cs="Arial"/>
          <w:sz w:val="20"/>
          <w:szCs w:val="20"/>
          <w:lang w:eastAsia="en-ZA"/>
        </w:rPr>
        <w:t xml:space="preserve"> under another regime of law. To do so would imply that such acts must be subject to criminalisation under that legal framework, therefore creating conflicting obligations of States at the international level. This would be contrary to the reality of armed conflicts and the rationale of IHL, which does not prohibit attacks against lawful targets.</w:t>
      </w:r>
      <w:r>
        <w:rPr>
          <w:rFonts w:cs="Arial"/>
          <w:sz w:val="20"/>
          <w:szCs w:val="20"/>
          <w:lang w:eastAsia="en-ZA"/>
        </w:rPr>
        <w:t>”</w:t>
      </w:r>
      <w:r w:rsidR="00AC769A" w:rsidRPr="00710F11">
        <w:rPr>
          <w:rStyle w:val="FootnoteReference"/>
          <w:rFonts w:cs="Arial"/>
          <w:sz w:val="20"/>
          <w:szCs w:val="20"/>
          <w:lang w:eastAsia="en-ZA"/>
        </w:rPr>
        <w:footnoteReference w:id="19"/>
      </w:r>
    </w:p>
    <w:p w:rsidR="00AA04D2" w:rsidRPr="00D76D5C" w:rsidRDefault="00AC769A" w:rsidP="00E81F99">
      <w:pPr>
        <w:pStyle w:val="WWList1"/>
        <w:rPr>
          <w:rFonts w:cs="Arial"/>
          <w:lang w:eastAsia="en-ZA"/>
        </w:rPr>
      </w:pPr>
      <w:r w:rsidRPr="00D76D5C">
        <w:rPr>
          <w:rFonts w:cs="Arial"/>
          <w:lang w:eastAsia="en-ZA"/>
        </w:rPr>
        <w:t>In applying the definition of the crime of terrorism, a court must analyse whether the relevant situation constituted an armed conflict and if so, do a fact-based inquiry into the intention, method, and victims of the perpetrator’s actions.</w:t>
      </w:r>
    </w:p>
    <w:p w:rsidR="00AA04D2" w:rsidRPr="00D76D5C" w:rsidRDefault="00AC769A" w:rsidP="00E81F99">
      <w:pPr>
        <w:pStyle w:val="WWBodyText"/>
        <w:keepNext/>
        <w:rPr>
          <w:rFonts w:cs="Arial"/>
          <w:b/>
        </w:rPr>
      </w:pPr>
      <w:r w:rsidRPr="00D76D5C">
        <w:rPr>
          <w:rFonts w:cs="Arial"/>
          <w:b/>
        </w:rPr>
        <w:t>INTERPRETATION OF SECTION 1(4) OF THE TERRORISM ACT</w:t>
      </w:r>
    </w:p>
    <w:p w:rsidR="00AA04D2" w:rsidRPr="00D76D5C" w:rsidRDefault="00AC769A" w:rsidP="00E81F99">
      <w:pPr>
        <w:pStyle w:val="WWBodyText"/>
        <w:keepNext/>
        <w:rPr>
          <w:rFonts w:cs="Arial"/>
          <w:b/>
        </w:rPr>
      </w:pPr>
      <w:r w:rsidRPr="00D76D5C">
        <w:rPr>
          <w:rFonts w:cs="Arial"/>
          <w:b/>
        </w:rPr>
        <w:t>Relevant Provisions of the Constitution of South Africa</w:t>
      </w:r>
    </w:p>
    <w:p w:rsidR="00AA04D2" w:rsidRPr="00D76D5C" w:rsidRDefault="00AC769A" w:rsidP="00E81F99">
      <w:pPr>
        <w:pStyle w:val="WWList1"/>
        <w:rPr>
          <w:rFonts w:cs="Arial"/>
        </w:rPr>
      </w:pPr>
      <w:r w:rsidRPr="00D76D5C">
        <w:rPr>
          <w:rFonts w:cs="Arial"/>
        </w:rPr>
        <w:t xml:space="preserve">South Africa is a constitutional democracy founded on </w:t>
      </w:r>
      <w:r w:rsidR="007C5FA0">
        <w:rPr>
          <w:rFonts w:cs="Arial"/>
        </w:rPr>
        <w:t>remedying</w:t>
      </w:r>
      <w:r w:rsidRPr="00D76D5C">
        <w:rPr>
          <w:rFonts w:cs="Arial"/>
        </w:rPr>
        <w:t xml:space="preserve"> injustices suffered by the people in the past.</w:t>
      </w:r>
      <w:r w:rsidRPr="00D76D5C">
        <w:rPr>
          <w:rStyle w:val="FootnoteReference"/>
          <w:rFonts w:cs="Arial"/>
        </w:rPr>
        <w:footnoteReference w:id="20"/>
      </w:r>
      <w:r w:rsidRPr="00D76D5C">
        <w:rPr>
          <w:rFonts w:cs="Arial"/>
        </w:rPr>
        <w:t xml:space="preserve"> The State is obliged to </w:t>
      </w:r>
      <w:r w:rsidR="007C5FA0">
        <w:rPr>
          <w:rFonts w:cs="Arial"/>
        </w:rPr>
        <w:t>respect, protect, and promote</w:t>
      </w:r>
      <w:r w:rsidRPr="00D76D5C">
        <w:rPr>
          <w:rFonts w:cs="Arial"/>
        </w:rPr>
        <w:t xml:space="preserve"> the Bill of Rights enshrined in the Constitution</w:t>
      </w:r>
      <w:r w:rsidR="007C5FA0">
        <w:rPr>
          <w:rFonts w:cs="Arial"/>
        </w:rPr>
        <w:t>,</w:t>
      </w:r>
      <w:r w:rsidR="007C5FA0">
        <w:rPr>
          <w:rStyle w:val="FootnoteReference"/>
        </w:rPr>
        <w:footnoteReference w:id="21"/>
      </w:r>
      <w:r w:rsidRPr="00D76D5C">
        <w:rPr>
          <w:rFonts w:cs="Arial"/>
        </w:rPr>
        <w:t xml:space="preserve"> as this is the cornerstone of the country’s democracy, guaranteeing a number of rights for its citizens</w:t>
      </w:r>
      <w:r w:rsidR="007C5FA0">
        <w:rPr>
          <w:rFonts w:cs="Arial"/>
        </w:rPr>
        <w:t xml:space="preserve"> and other persons within the territorial jurisdiction of the Republic</w:t>
      </w:r>
      <w:r w:rsidRPr="00D76D5C">
        <w:rPr>
          <w:rFonts w:cs="Arial"/>
        </w:rPr>
        <w:t>.</w:t>
      </w:r>
    </w:p>
    <w:p w:rsidR="00AA04D2" w:rsidRPr="00D76D5C" w:rsidRDefault="00AC769A" w:rsidP="00E81F99">
      <w:pPr>
        <w:pStyle w:val="WWList1"/>
        <w:rPr>
          <w:rFonts w:cs="Arial"/>
        </w:rPr>
      </w:pPr>
      <w:r w:rsidRPr="00D76D5C">
        <w:rPr>
          <w:rFonts w:cs="Arial"/>
        </w:rPr>
        <w:t>Courts of law in the Republic also have a duty to affirm and give effect to the provisions of the Bill of Rights, customary international law, to the extent it is consistent with the Constitution or an Act of Parliament, and to reasonably interpret any legislation consistent with international law.</w:t>
      </w:r>
      <w:r w:rsidRPr="00D76D5C">
        <w:rPr>
          <w:rStyle w:val="FootnoteReference"/>
          <w:rFonts w:cs="Arial"/>
        </w:rPr>
        <w:footnoteReference w:id="22"/>
      </w:r>
    </w:p>
    <w:p w:rsidR="00AA04D2" w:rsidRPr="00D76D5C" w:rsidRDefault="00AC769A" w:rsidP="00E81F99">
      <w:pPr>
        <w:pStyle w:val="WWList1"/>
        <w:rPr>
          <w:rFonts w:cs="Arial"/>
        </w:rPr>
      </w:pPr>
      <w:r w:rsidRPr="00D76D5C">
        <w:rPr>
          <w:rFonts w:cs="Arial"/>
        </w:rPr>
        <w:t xml:space="preserve">Of particular importance to this case are the provisions of section 235 of the Constitution, which recognises </w:t>
      </w:r>
      <w:r w:rsidR="00E81F99" w:rsidRPr="00D76D5C">
        <w:rPr>
          <w:rFonts w:cs="Arial"/>
        </w:rPr>
        <w:t>"</w:t>
      </w:r>
      <w:r w:rsidRPr="00D76D5C">
        <w:rPr>
          <w:rFonts w:cs="Arial"/>
          <w:i/>
        </w:rPr>
        <w:t xml:space="preserve">the notion of the right of self-determination of any </w:t>
      </w:r>
      <w:r w:rsidRPr="00D76D5C">
        <w:rPr>
          <w:rFonts w:cs="Arial"/>
          <w:i/>
        </w:rPr>
        <w:tab/>
        <w:t>community sharing a common cultural and language heritage, within a territorial entity in the Republic or in any way, determined by national legislation.</w:t>
      </w:r>
      <w:r w:rsidR="00E81F99" w:rsidRPr="00D76D5C">
        <w:rPr>
          <w:rFonts w:cs="Arial"/>
        </w:rPr>
        <w:t>"</w:t>
      </w:r>
      <w:r w:rsidRPr="00D76D5C">
        <w:rPr>
          <w:rFonts w:cs="Arial"/>
        </w:rPr>
        <w:t xml:space="preserve"> In light of the foregoing, it is important to consider self-determination’s importance under the Constitution of the Republic when interpreting section 1(4) of the Terrorism Act. </w:t>
      </w:r>
    </w:p>
    <w:p w:rsidR="00AA04D2" w:rsidRPr="00D76D5C" w:rsidRDefault="00AC769A" w:rsidP="00E81F99">
      <w:pPr>
        <w:pStyle w:val="WWBodyText"/>
        <w:keepNext/>
        <w:rPr>
          <w:rFonts w:cs="Arial"/>
          <w:b/>
        </w:rPr>
      </w:pPr>
      <w:r w:rsidRPr="00D76D5C">
        <w:rPr>
          <w:rFonts w:cs="Arial"/>
          <w:b/>
        </w:rPr>
        <w:t>International Conventions</w:t>
      </w:r>
    </w:p>
    <w:p w:rsidR="00AA04D2" w:rsidRPr="00D76D5C" w:rsidRDefault="00AC769A" w:rsidP="00E81F99">
      <w:pPr>
        <w:pStyle w:val="WWList1"/>
        <w:keepNext/>
        <w:rPr>
          <w:rFonts w:cs="Arial"/>
        </w:rPr>
      </w:pPr>
      <w:r w:rsidRPr="00D76D5C">
        <w:rPr>
          <w:rFonts w:cs="Arial"/>
        </w:rPr>
        <w:t xml:space="preserve">International conventions can also shed light on the proper interpretation of </w:t>
      </w:r>
      <w:r w:rsidR="007C5FA0">
        <w:rPr>
          <w:rFonts w:cs="Arial"/>
        </w:rPr>
        <w:t>the so-called</w:t>
      </w:r>
      <w:r w:rsidR="007C5FA0" w:rsidRPr="00D76D5C">
        <w:rPr>
          <w:rFonts w:cs="Arial"/>
        </w:rPr>
        <w:t xml:space="preserve"> </w:t>
      </w:r>
      <w:r w:rsidR="007C5FA0">
        <w:rPr>
          <w:rFonts w:cs="Arial"/>
        </w:rPr>
        <w:t>“</w:t>
      </w:r>
      <w:r w:rsidRPr="00D76D5C">
        <w:rPr>
          <w:rFonts w:cs="Arial"/>
        </w:rPr>
        <w:t>freedom fighter</w:t>
      </w:r>
      <w:r w:rsidR="007C5FA0">
        <w:rPr>
          <w:rFonts w:cs="Arial"/>
        </w:rPr>
        <w:t>”</w:t>
      </w:r>
      <w:r w:rsidRPr="00D76D5C">
        <w:rPr>
          <w:rFonts w:cs="Arial"/>
        </w:rPr>
        <w:t xml:space="preserve"> exception. In similar la</w:t>
      </w:r>
      <w:r w:rsidR="00E81F99" w:rsidRPr="00D76D5C">
        <w:rPr>
          <w:rFonts w:cs="Arial"/>
        </w:rPr>
        <w:t>nguage to section 1(4), article </w:t>
      </w:r>
      <w:r w:rsidRPr="00D76D5C">
        <w:rPr>
          <w:rFonts w:cs="Arial"/>
        </w:rPr>
        <w:t>3(1) of the OAU Convention on the Prevention and Combating of Terrorism, which</w:t>
      </w:r>
      <w:r w:rsidR="006E7725">
        <w:rPr>
          <w:rFonts w:cs="Arial"/>
        </w:rPr>
        <w:t xml:space="preserve"> remains extant and thus</w:t>
      </w:r>
      <w:r w:rsidRPr="00D76D5C">
        <w:rPr>
          <w:rFonts w:cs="Arial"/>
        </w:rPr>
        <w:t xml:space="preserve"> binding on South Africa, provides as follows:</w:t>
      </w:r>
    </w:p>
    <w:p w:rsidR="00AA04D2" w:rsidRPr="00710F11" w:rsidRDefault="00E15DBB"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sz w:val="20"/>
          <w:szCs w:val="20"/>
        </w:rPr>
        <w:t>Notwithstanding the provisions of Article 1, the struggle waged by peoples in accordance with the principles of international law for their liberation or self-determination, including armed struggle against colonialism, occupation, aggression and domination by foreign forces shall not be considered as terrorist acts.</w:t>
      </w:r>
      <w:r w:rsidRPr="00710F11">
        <w:rPr>
          <w:rFonts w:cs="Arial"/>
          <w:sz w:val="20"/>
          <w:szCs w:val="20"/>
        </w:rPr>
        <w:t>"</w:t>
      </w:r>
      <w:r w:rsidR="00AC769A" w:rsidRPr="00710F11">
        <w:rPr>
          <w:rStyle w:val="FootnoteReference"/>
          <w:rFonts w:cs="Arial"/>
          <w:sz w:val="20"/>
          <w:szCs w:val="20"/>
        </w:rPr>
        <w:footnoteReference w:id="23"/>
      </w:r>
    </w:p>
    <w:p w:rsidR="00AA04D2" w:rsidRPr="00D76D5C" w:rsidRDefault="00AC769A" w:rsidP="00E15DBB">
      <w:pPr>
        <w:pStyle w:val="WWList1"/>
        <w:rPr>
          <w:rFonts w:cs="Arial"/>
        </w:rPr>
      </w:pPr>
      <w:r w:rsidRPr="00D76D5C">
        <w:rPr>
          <w:rFonts w:cs="Arial"/>
        </w:rPr>
        <w:t xml:space="preserve">Article 20(1) of the African Charter on Human and Peoples’ Rights guarantees people’s inalienable right to self-determination and also the right to </w:t>
      </w:r>
      <w:r w:rsidR="00E15DBB" w:rsidRPr="00D76D5C">
        <w:rPr>
          <w:rFonts w:cs="Arial"/>
        </w:rPr>
        <w:t>"</w:t>
      </w:r>
      <w:r w:rsidRPr="00D76D5C">
        <w:rPr>
          <w:rFonts w:cs="Arial"/>
          <w:i/>
        </w:rPr>
        <w:t>free themselves from the bonds of domination by resorting to any means recognised by the international community</w:t>
      </w:r>
      <w:r w:rsidR="00E15DBB" w:rsidRPr="00D76D5C">
        <w:rPr>
          <w:rFonts w:cs="Arial"/>
        </w:rPr>
        <w:t>"</w:t>
      </w:r>
      <w:r w:rsidRPr="00D76D5C">
        <w:rPr>
          <w:rFonts w:cs="Arial"/>
        </w:rPr>
        <w:t>.</w:t>
      </w:r>
      <w:r w:rsidRPr="00D76D5C">
        <w:rPr>
          <w:rStyle w:val="FootnoteReference"/>
          <w:rFonts w:cs="Arial"/>
        </w:rPr>
        <w:footnoteReference w:id="24"/>
      </w:r>
      <w:r w:rsidRPr="00D76D5C">
        <w:rPr>
          <w:rFonts w:cs="Arial"/>
        </w:rPr>
        <w:t xml:space="preserve"> </w:t>
      </w:r>
    </w:p>
    <w:p w:rsidR="00AA04D2" w:rsidRPr="00D76D5C" w:rsidRDefault="00AC769A" w:rsidP="00E15DBB">
      <w:pPr>
        <w:pStyle w:val="WWList1"/>
        <w:keepNext/>
        <w:rPr>
          <w:rFonts w:cs="Arial"/>
        </w:rPr>
      </w:pPr>
      <w:r w:rsidRPr="00D76D5C">
        <w:rPr>
          <w:rFonts w:cs="Arial"/>
        </w:rPr>
        <w:t>Another relevant convention is the International Convention against the Taking of Hostages. Article 12 of the Convention provides that,</w:t>
      </w:r>
    </w:p>
    <w:p w:rsidR="00AA04D2" w:rsidRPr="00710F11" w:rsidRDefault="00E15DBB"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sz w:val="20"/>
          <w:szCs w:val="20"/>
        </w:rPr>
        <w:t>…the present Convention shall not apply to an act of hostage-taking committed in the course of armed conflicts as defined in the Geneva Conventions of 1949 and the protocols thereto, including armed conflicts mentioned in article 1, paragraph 4 of Additional Protocol I of 1977, in which peoples are fighting against colonial domination and alien occupation and against racist regimes in the exercise of their right of self-determination, as enshrined in the Charter of the United Nations and the Declaration on Principles of  International Law concerning Friendly Relations and Co-operation among States in accordance with the Charter of the United Nations.</w:t>
      </w:r>
      <w:r w:rsidRPr="00710F11">
        <w:rPr>
          <w:rFonts w:cs="Arial"/>
          <w:sz w:val="20"/>
          <w:szCs w:val="20"/>
        </w:rPr>
        <w:t>"</w:t>
      </w:r>
      <w:r w:rsidR="00AC769A" w:rsidRPr="00710F11">
        <w:rPr>
          <w:rStyle w:val="FootnoteReference"/>
          <w:rFonts w:cs="Arial"/>
          <w:sz w:val="20"/>
          <w:szCs w:val="20"/>
        </w:rPr>
        <w:footnoteReference w:id="25"/>
      </w:r>
    </w:p>
    <w:p w:rsidR="00AA04D2" w:rsidRPr="00D76D5C" w:rsidRDefault="00AC769A" w:rsidP="00E15DBB">
      <w:pPr>
        <w:pStyle w:val="WWList1"/>
        <w:keepNext/>
        <w:rPr>
          <w:rFonts w:cs="Arial"/>
        </w:rPr>
      </w:pPr>
      <w:r w:rsidRPr="00D76D5C">
        <w:rPr>
          <w:rFonts w:cs="Arial"/>
        </w:rPr>
        <w:t>In choosing whether acts are terrorist activities or legitimate acts of freedom fighters, a court of law must look at a number of factors, including the following:</w:t>
      </w:r>
    </w:p>
    <w:p w:rsidR="00AA04D2" w:rsidRPr="00710F11" w:rsidRDefault="00E15DBB" w:rsidP="00710F11">
      <w:pPr>
        <w:pStyle w:val="WWBodyText2"/>
        <w:tabs>
          <w:tab w:val="left" w:pos="1701"/>
          <w:tab w:val="left" w:pos="8100"/>
        </w:tabs>
        <w:spacing w:line="360" w:lineRule="auto"/>
        <w:ind w:left="1701" w:right="404" w:hanging="567"/>
        <w:rPr>
          <w:rFonts w:cs="Arial"/>
          <w:sz w:val="20"/>
          <w:szCs w:val="20"/>
        </w:rPr>
      </w:pPr>
      <w:r w:rsidRPr="00710F11">
        <w:rPr>
          <w:rFonts w:cs="Arial"/>
          <w:sz w:val="20"/>
          <w:szCs w:val="20"/>
        </w:rPr>
        <w:t>"</w:t>
      </w:r>
      <w:r w:rsidR="00AC769A" w:rsidRPr="00710F11">
        <w:rPr>
          <w:rFonts w:cs="Arial"/>
          <w:sz w:val="20"/>
          <w:szCs w:val="20"/>
        </w:rPr>
        <w:t>a)</w:t>
      </w:r>
      <w:r w:rsidRPr="00710F11">
        <w:rPr>
          <w:rFonts w:cs="Arial"/>
          <w:sz w:val="20"/>
          <w:szCs w:val="20"/>
        </w:rPr>
        <w:tab/>
      </w:r>
      <w:r w:rsidR="00AC769A" w:rsidRPr="00710F11">
        <w:rPr>
          <w:rFonts w:cs="Arial"/>
          <w:sz w:val="20"/>
          <w:szCs w:val="20"/>
        </w:rPr>
        <w:t>the situation existing at the time of the planning of attack; time of war, foreign military occupation, peace or preliminary operations for subsequent occupation); b) the targets who could be civilians, military personnel involved in belligerent operations, military personnel engaged in actions of humanitarian aid or other similar activities completely extraneous to belligerent operations; c) the perpetrator’s subjective status – in order to  establish whether or not he belongs to the category of freedom fighters. The task of a domestic judge is more complex than simply establishing the boundaries between terrorism and national liberation war. The judge must also consider the multifaceted context of the country where the attacks are, or may have been realised and the status and individual situations of those involved.</w:t>
      </w:r>
      <w:r w:rsidRPr="00710F11">
        <w:rPr>
          <w:rFonts w:cs="Arial"/>
          <w:sz w:val="20"/>
          <w:szCs w:val="20"/>
        </w:rPr>
        <w:t>"</w:t>
      </w:r>
      <w:r w:rsidR="00AC769A" w:rsidRPr="00710F11">
        <w:rPr>
          <w:rStyle w:val="FootnoteReference"/>
          <w:rFonts w:cs="Arial"/>
          <w:sz w:val="20"/>
          <w:szCs w:val="20"/>
        </w:rPr>
        <w:footnoteReference w:id="26"/>
      </w:r>
    </w:p>
    <w:p w:rsidR="00AC769A" w:rsidRPr="00D76D5C" w:rsidRDefault="00AC769A" w:rsidP="00E15DBB">
      <w:pPr>
        <w:pStyle w:val="WWBodyText"/>
        <w:keepNext/>
        <w:rPr>
          <w:rFonts w:cs="Arial"/>
          <w:b/>
        </w:rPr>
      </w:pPr>
      <w:r w:rsidRPr="00D76D5C">
        <w:rPr>
          <w:rFonts w:eastAsia="Calibri" w:cs="Arial"/>
          <w:b/>
        </w:rPr>
        <w:t>Comparative Case Law</w:t>
      </w:r>
    </w:p>
    <w:p w:rsidR="006E7725" w:rsidRDefault="00AC769A" w:rsidP="00E15DBB">
      <w:pPr>
        <w:pStyle w:val="WWList1"/>
        <w:rPr>
          <w:rFonts w:cs="Arial"/>
        </w:rPr>
      </w:pPr>
      <w:r w:rsidRPr="00D76D5C">
        <w:rPr>
          <w:rFonts w:cs="Arial"/>
        </w:rPr>
        <w:t xml:space="preserve">These principles have also been confirmed by a number of </w:t>
      </w:r>
      <w:r w:rsidR="006E7725">
        <w:rPr>
          <w:rFonts w:cs="Arial"/>
        </w:rPr>
        <w:t xml:space="preserve">foreign </w:t>
      </w:r>
      <w:r w:rsidRPr="00D76D5C">
        <w:rPr>
          <w:rFonts w:cs="Arial"/>
        </w:rPr>
        <w:t>national courts.</w:t>
      </w:r>
      <w:r w:rsidRPr="00D76D5C">
        <w:rPr>
          <w:rStyle w:val="FootnoteReference"/>
          <w:rFonts w:cs="Arial"/>
        </w:rPr>
        <w:footnoteReference w:id="27"/>
      </w:r>
    </w:p>
    <w:p w:rsidR="00AA04D2" w:rsidRPr="00D76D5C" w:rsidRDefault="006E7725" w:rsidP="00E15DBB">
      <w:pPr>
        <w:pStyle w:val="WWList1"/>
        <w:rPr>
          <w:rFonts w:cs="Arial"/>
        </w:rPr>
      </w:pPr>
      <w:r>
        <w:rPr>
          <w:rFonts w:cs="Arial"/>
        </w:rPr>
        <w:t xml:space="preserve">In the case of </w:t>
      </w:r>
      <w:r w:rsidRPr="00C1238E">
        <w:rPr>
          <w:rFonts w:cs="Arial"/>
          <w:b/>
        </w:rPr>
        <w:t>Bouyahia Maher Ben Abdelaziz et al</w:t>
      </w:r>
      <w:r>
        <w:rPr>
          <w:rFonts w:cs="Arial"/>
          <w:b/>
        </w:rPr>
        <w:t xml:space="preserve"> </w:t>
      </w:r>
      <w:r>
        <w:rPr>
          <w:rFonts w:cs="Arial"/>
        </w:rPr>
        <w:t>(as above)</w:t>
      </w:r>
      <w:r w:rsidRPr="00710F11">
        <w:rPr>
          <w:rFonts w:cs="Arial"/>
        </w:rPr>
        <w:t>,</w:t>
      </w:r>
      <w:r>
        <w:rPr>
          <w:rFonts w:cs="Arial"/>
        </w:rPr>
        <w:t xml:space="preserve"> the Italian Supreme Court had significant opportunity to consider these principles. </w:t>
      </w:r>
      <w:r w:rsidRPr="00710F11">
        <w:rPr>
          <w:rFonts w:cs="Arial"/>
        </w:rPr>
        <w:t xml:space="preserve"> </w:t>
      </w:r>
      <w:r w:rsidR="00AC769A" w:rsidRPr="00D76D5C">
        <w:rPr>
          <w:rFonts w:cs="Arial"/>
        </w:rPr>
        <w:t>Th</w:t>
      </w:r>
      <w:r>
        <w:rPr>
          <w:rFonts w:cs="Arial"/>
        </w:rPr>
        <w:t xml:space="preserve">at </w:t>
      </w:r>
      <w:r w:rsidR="00AC769A" w:rsidRPr="00D76D5C">
        <w:rPr>
          <w:rFonts w:cs="Arial"/>
        </w:rPr>
        <w:t xml:space="preserve">case involved Moroccan and Tunisian nationals who were accused in 2003 of taking part in the recruitment and dispatching of volunteers to be trained as Islamic fighters, mainly in the framework of the Islamic organization Ansar-al-Islam. Two lower courts held that the suspects were supporting legitimate guerrilla warfare directed against military personnel or military objectives to fight foreign military occupation in Iraq. </w:t>
      </w:r>
    </w:p>
    <w:p w:rsidR="00296A54" w:rsidRDefault="00AC769A" w:rsidP="00E15DBB">
      <w:pPr>
        <w:pStyle w:val="WWList1"/>
        <w:rPr>
          <w:rFonts w:cs="Arial"/>
        </w:rPr>
      </w:pPr>
      <w:r w:rsidRPr="00D76D5C">
        <w:rPr>
          <w:rFonts w:cs="Arial"/>
        </w:rPr>
        <w:t>The Public Prosecutor appealed against the decisions to the Supreme Court of Cassation and, in a landmark decision,</w:t>
      </w:r>
      <w:r w:rsidR="00296A54">
        <w:rPr>
          <w:rFonts w:cs="Arial"/>
        </w:rPr>
        <w:t xml:space="preserve"> the Supreme Court</w:t>
      </w:r>
      <w:r w:rsidRPr="00D76D5C">
        <w:rPr>
          <w:rFonts w:cs="Arial"/>
        </w:rPr>
        <w:t xml:space="preserve"> laid out the law on the crime of terrorism. </w:t>
      </w:r>
    </w:p>
    <w:p w:rsidR="00AA04D2" w:rsidRPr="00710F11" w:rsidRDefault="00296A54" w:rsidP="00710F11">
      <w:pPr>
        <w:pStyle w:val="WWHeading1"/>
        <w:rPr>
          <w:b w:val="0"/>
        </w:rPr>
      </w:pPr>
      <w:r>
        <w:rPr>
          <w:b w:val="0"/>
        </w:rPr>
        <w:t>The</w:t>
      </w:r>
      <w:r w:rsidR="00AC769A" w:rsidRPr="00710F11">
        <w:rPr>
          <w:b w:val="0"/>
        </w:rPr>
        <w:t xml:space="preserve"> Court held that in order to identify an act as terrorism, it should not only look at those elements provided for in domestic criminal law, but also those set out in</w:t>
      </w:r>
      <w:r w:rsidRPr="00710F11">
        <w:rPr>
          <w:b w:val="0"/>
        </w:rPr>
        <w:t>, for example,</w:t>
      </w:r>
      <w:r w:rsidR="00AC769A" w:rsidRPr="00710F11">
        <w:rPr>
          <w:b w:val="0"/>
        </w:rPr>
        <w:t xml:space="preserve"> the Financing Convention. After making that observation, the Court, relying on the provisions of the Financing Convention, defined terrorist acts as any acts carried out against civilians, or in belligerent contexts against anyone not taking active part in the hostilities, in order to spread terror among the population or to force the state or an international organisation to carry out (or to abstain from carrying out) an action.</w:t>
      </w:r>
      <w:r w:rsidR="00AC769A" w:rsidRPr="00710F11">
        <w:rPr>
          <w:rStyle w:val="FootnoteReference"/>
          <w:rFonts w:cs="Arial"/>
          <w:b w:val="0"/>
        </w:rPr>
        <w:footnoteReference w:id="28"/>
      </w:r>
      <w:r w:rsidR="00AC769A" w:rsidRPr="00710F11">
        <w:rPr>
          <w:b w:val="0"/>
        </w:rPr>
        <w:t xml:space="preserve"> </w:t>
      </w:r>
    </w:p>
    <w:p w:rsidR="00AA04D2" w:rsidRPr="00D76D5C" w:rsidRDefault="00AC769A" w:rsidP="00E15DBB">
      <w:pPr>
        <w:pStyle w:val="WWList1"/>
        <w:keepNext/>
        <w:rPr>
          <w:rFonts w:cs="Arial"/>
        </w:rPr>
      </w:pPr>
      <w:r w:rsidRPr="00D76D5C">
        <w:rPr>
          <w:rFonts w:cs="Arial"/>
        </w:rPr>
        <w:t>The Court also held that for conduct to qualify as terrorist conduct it needs to have a specific ultimate purpose, i.e. ideological, religious or political. On the basis of these elements, the Court established that:</w:t>
      </w:r>
    </w:p>
    <w:p w:rsidR="00AA04D2" w:rsidRPr="00710F11" w:rsidRDefault="00E15DBB" w:rsidP="00710F11">
      <w:pPr>
        <w:pStyle w:val="WWBodyText2"/>
        <w:spacing w:line="360" w:lineRule="auto"/>
        <w:ind w:right="404"/>
        <w:rPr>
          <w:rFonts w:cs="Arial"/>
          <w:sz w:val="20"/>
          <w:szCs w:val="20"/>
        </w:rPr>
      </w:pPr>
      <w:r w:rsidRPr="00710F11">
        <w:rPr>
          <w:rFonts w:cs="Arial"/>
          <w:sz w:val="20"/>
          <w:szCs w:val="20"/>
        </w:rPr>
        <w:t>"</w:t>
      </w:r>
      <w:r w:rsidR="00AC769A" w:rsidRPr="00710F11">
        <w:rPr>
          <w:rFonts w:cs="Arial"/>
          <w:sz w:val="20"/>
          <w:szCs w:val="20"/>
        </w:rPr>
        <w:t>[T]he legal regulation to which any terrorist conduct has to be subjected differs in the identity of the perpetrators and the victims. The application of the relevant regulation, i.e. international humanitarian law or common criminal law, depends on whether the action has been carried out by combatants and against civilians or people not involved directly in the hostilities. It follows that changing these subjective prerequisites, the conduct will amount either to war crimes or to crimes against humanity.</w:t>
      </w:r>
      <w:r w:rsidRPr="00710F11">
        <w:rPr>
          <w:rFonts w:cs="Arial"/>
          <w:sz w:val="20"/>
          <w:szCs w:val="20"/>
        </w:rPr>
        <w:t>"</w:t>
      </w:r>
      <w:r w:rsidR="00AC769A" w:rsidRPr="00710F11">
        <w:rPr>
          <w:rStyle w:val="FootnoteReference"/>
          <w:rFonts w:cs="Arial"/>
          <w:sz w:val="20"/>
          <w:szCs w:val="20"/>
        </w:rPr>
        <w:footnoteReference w:id="29"/>
      </w:r>
    </w:p>
    <w:p w:rsidR="00AA04D2" w:rsidRPr="00D76D5C" w:rsidRDefault="00AC769A" w:rsidP="00E15DBB">
      <w:pPr>
        <w:pStyle w:val="WWList1"/>
        <w:rPr>
          <w:rFonts w:cs="Arial"/>
        </w:rPr>
      </w:pPr>
      <w:r w:rsidRPr="00D76D5C">
        <w:rPr>
          <w:rFonts w:cs="Arial"/>
        </w:rPr>
        <w:t xml:space="preserve">The Court of Appeal of England and Wales has also interpreted the definition of terrorism as contained in United Kingdom law in the case of </w:t>
      </w:r>
      <w:r w:rsidR="00E15DBB" w:rsidRPr="00710F11">
        <w:rPr>
          <w:rFonts w:cs="Arial"/>
          <w:b/>
        </w:rPr>
        <w:t>R </w:t>
      </w:r>
      <w:r w:rsidRPr="00710F11">
        <w:rPr>
          <w:rFonts w:cs="Arial"/>
          <w:b/>
        </w:rPr>
        <w:t>v Mohammed Gul</w:t>
      </w:r>
      <w:r w:rsidRPr="00D76D5C">
        <w:rPr>
          <w:rFonts w:cs="Arial"/>
        </w:rPr>
        <w:t>.</w:t>
      </w:r>
      <w:r w:rsidRPr="00D76D5C">
        <w:rPr>
          <w:rStyle w:val="FootnoteReference"/>
          <w:rFonts w:cs="Arial"/>
        </w:rPr>
        <w:footnoteReference w:id="30"/>
      </w:r>
      <w:r w:rsidRPr="00D76D5C">
        <w:rPr>
          <w:rFonts w:cs="Arial"/>
        </w:rPr>
        <w:t xml:space="preserve"> Mohamed Gul was convicted for disseminating terrorist publications contrary to section 2 of the Terrorism Act 2006 and sentenced to 5 years in prison. In his defence, he argued that he was a freedom fighter, even though it is unsettled whether terrorism extends to acts of insurgents or </w:t>
      </w:r>
      <w:r w:rsidR="00E15DBB" w:rsidRPr="00D76D5C">
        <w:rPr>
          <w:rFonts w:cs="Arial"/>
        </w:rPr>
        <w:t>"</w:t>
      </w:r>
      <w:r w:rsidRPr="00D76D5C">
        <w:rPr>
          <w:rFonts w:cs="Arial"/>
        </w:rPr>
        <w:t>freedom fighters</w:t>
      </w:r>
      <w:r w:rsidR="00E15DBB" w:rsidRPr="00D76D5C">
        <w:rPr>
          <w:rFonts w:cs="Arial"/>
        </w:rPr>
        <w:t>"</w:t>
      </w:r>
      <w:r w:rsidRPr="00D76D5C">
        <w:rPr>
          <w:rFonts w:cs="Arial"/>
        </w:rPr>
        <w:t xml:space="preserve"> in non-international armed conflicts.</w:t>
      </w:r>
      <w:r w:rsidR="00E15DBB" w:rsidRPr="00D76D5C">
        <w:rPr>
          <w:rFonts w:cs="Arial"/>
        </w:rPr>
        <w:t>"</w:t>
      </w:r>
      <w:r w:rsidRPr="00D76D5C">
        <w:rPr>
          <w:rStyle w:val="FootnoteReference"/>
          <w:rFonts w:cs="Arial"/>
        </w:rPr>
        <w:footnoteReference w:id="31"/>
      </w:r>
      <w:r w:rsidRPr="00D76D5C">
        <w:rPr>
          <w:rFonts w:cs="Arial"/>
        </w:rPr>
        <w:t xml:space="preserve"> The Court rejected these arguments and held that freedom fighters would </w:t>
      </w:r>
      <w:r w:rsidR="00296A54">
        <w:rPr>
          <w:rFonts w:cs="Arial"/>
        </w:rPr>
        <w:t xml:space="preserve">still </w:t>
      </w:r>
      <w:r w:rsidRPr="00D76D5C">
        <w:rPr>
          <w:rFonts w:cs="Arial"/>
        </w:rPr>
        <w:t>be guilty of terrorism if they attack armed forces during armed conflict.</w:t>
      </w:r>
    </w:p>
    <w:p w:rsidR="00AA04D2" w:rsidRPr="00D76D5C" w:rsidRDefault="00AC769A" w:rsidP="00B517DA">
      <w:pPr>
        <w:pStyle w:val="WWList1"/>
        <w:rPr>
          <w:rFonts w:cs="Arial"/>
        </w:rPr>
      </w:pPr>
      <w:r w:rsidRPr="00D76D5C">
        <w:rPr>
          <w:rFonts w:cs="Arial"/>
        </w:rPr>
        <w:t>The Terrorism Act clearly invites Courts in the Republic to look at the provisions in Act, but also to rely on the number of international instruments to which it gives effect. As held by the Italian Supreme Court</w:t>
      </w:r>
      <w:r w:rsidR="00296A54">
        <w:rPr>
          <w:rFonts w:cs="Arial"/>
        </w:rPr>
        <w:t>,</w:t>
      </w:r>
      <w:r w:rsidRPr="00D76D5C">
        <w:rPr>
          <w:rFonts w:cs="Arial"/>
        </w:rPr>
        <w:t xml:space="preserve"> and as set forth in section 233 of the Constitution</w:t>
      </w:r>
      <w:r w:rsidR="00296A54">
        <w:rPr>
          <w:rFonts w:cs="Arial"/>
        </w:rPr>
        <w:t>,</w:t>
      </w:r>
      <w:r w:rsidRPr="00D76D5C">
        <w:rPr>
          <w:rFonts w:cs="Arial"/>
        </w:rPr>
        <w:t xml:space="preserve"> these international instruments could assist the court in </w:t>
      </w:r>
      <w:r w:rsidR="00296A54">
        <w:rPr>
          <w:rFonts w:cs="Arial"/>
        </w:rPr>
        <w:t>reaching a proper</w:t>
      </w:r>
      <w:r w:rsidRPr="00D76D5C">
        <w:rPr>
          <w:rFonts w:cs="Arial"/>
        </w:rPr>
        <w:t xml:space="preserve"> definition of the crime including its defence for freedom fighters. </w:t>
      </w:r>
    </w:p>
    <w:p w:rsidR="00AA04D2" w:rsidRPr="00D76D5C" w:rsidRDefault="00AC769A" w:rsidP="00B517DA">
      <w:pPr>
        <w:pStyle w:val="WWBodyText"/>
        <w:keepNext/>
        <w:rPr>
          <w:rFonts w:cs="Arial"/>
          <w:b/>
        </w:rPr>
      </w:pPr>
      <w:r w:rsidRPr="00D76D5C">
        <w:rPr>
          <w:rFonts w:cs="Arial"/>
          <w:b/>
        </w:rPr>
        <w:t>INTERPRETATION OF SECTION 1(4)</w:t>
      </w:r>
    </w:p>
    <w:p w:rsidR="00AA04D2" w:rsidRPr="00D76D5C" w:rsidRDefault="00AC769A" w:rsidP="00B517DA">
      <w:pPr>
        <w:pStyle w:val="WWList1"/>
        <w:rPr>
          <w:rFonts w:cs="Arial"/>
        </w:rPr>
      </w:pPr>
      <w:r w:rsidRPr="00D76D5C">
        <w:rPr>
          <w:rFonts w:cs="Arial"/>
        </w:rPr>
        <w:t>As stated above, in order to prove a defence under section 1(4) of the Terrorism Act, a defendant m</w:t>
      </w:r>
      <w:r w:rsidR="00B517DA" w:rsidRPr="00D76D5C">
        <w:rPr>
          <w:rFonts w:cs="Arial"/>
        </w:rPr>
        <w:t>ust establish the act was done:</w:t>
      </w:r>
    </w:p>
    <w:p w:rsidR="00AC769A" w:rsidRPr="00710F11" w:rsidRDefault="00AC769A" w:rsidP="00710F11">
      <w:pPr>
        <w:pStyle w:val="WWBodyText2"/>
        <w:tabs>
          <w:tab w:val="left" w:pos="1701"/>
        </w:tabs>
        <w:spacing w:line="360" w:lineRule="auto"/>
        <w:ind w:right="404"/>
        <w:rPr>
          <w:rFonts w:cs="Arial"/>
          <w:sz w:val="20"/>
          <w:szCs w:val="20"/>
        </w:rPr>
      </w:pPr>
      <w:r w:rsidRPr="00710F11">
        <w:rPr>
          <w:rFonts w:cs="Arial"/>
          <w:sz w:val="20"/>
          <w:szCs w:val="20"/>
        </w:rPr>
        <w:t>(1)</w:t>
      </w:r>
      <w:r w:rsidR="00B517DA" w:rsidRPr="00710F11">
        <w:rPr>
          <w:rFonts w:cs="Arial"/>
          <w:sz w:val="20"/>
          <w:szCs w:val="20"/>
        </w:rPr>
        <w:tab/>
        <w:t>"</w:t>
      </w:r>
      <w:r w:rsidRPr="00710F11">
        <w:rPr>
          <w:rFonts w:cs="Arial"/>
          <w:i/>
          <w:sz w:val="20"/>
          <w:szCs w:val="20"/>
        </w:rPr>
        <w:t>during a struggle waged by peoples</w:t>
      </w:r>
      <w:r w:rsidR="00B517DA" w:rsidRPr="00710F11">
        <w:rPr>
          <w:rFonts w:cs="Arial"/>
          <w:sz w:val="20"/>
          <w:szCs w:val="20"/>
        </w:rPr>
        <w:t>"</w:t>
      </w:r>
      <w:r w:rsidRPr="00710F11">
        <w:rPr>
          <w:rFonts w:cs="Arial"/>
          <w:sz w:val="20"/>
          <w:szCs w:val="20"/>
        </w:rPr>
        <w:t xml:space="preserve">, </w:t>
      </w:r>
    </w:p>
    <w:p w:rsidR="00AC769A" w:rsidRPr="00710F11" w:rsidRDefault="00AC769A" w:rsidP="00710F11">
      <w:pPr>
        <w:pStyle w:val="WWBodyText2"/>
        <w:tabs>
          <w:tab w:val="left" w:pos="1701"/>
        </w:tabs>
        <w:spacing w:line="360" w:lineRule="auto"/>
        <w:ind w:left="1701" w:right="404" w:hanging="567"/>
        <w:rPr>
          <w:rFonts w:cs="Arial"/>
          <w:sz w:val="20"/>
          <w:szCs w:val="20"/>
        </w:rPr>
      </w:pPr>
      <w:r w:rsidRPr="00710F11">
        <w:rPr>
          <w:rFonts w:cs="Arial"/>
          <w:sz w:val="20"/>
          <w:szCs w:val="20"/>
        </w:rPr>
        <w:t>(2)</w:t>
      </w:r>
      <w:r w:rsidR="00B517DA" w:rsidRPr="00710F11">
        <w:rPr>
          <w:rFonts w:cs="Arial"/>
          <w:sz w:val="20"/>
          <w:szCs w:val="20"/>
        </w:rPr>
        <w:tab/>
        <w:t>"</w:t>
      </w:r>
      <w:r w:rsidRPr="00710F11">
        <w:rPr>
          <w:rFonts w:cs="Arial"/>
          <w:i/>
          <w:sz w:val="20"/>
          <w:szCs w:val="20"/>
        </w:rPr>
        <w:t>in accordance with the principles of international law, especially international humanitarian law, including the purposes and principles of the Charter of the United Nations and the Declaration on Principles of International Law concerning Friendly Relations and Cooperation among States in accordance with the said Charter</w:t>
      </w:r>
      <w:r w:rsidR="00B517DA" w:rsidRPr="00710F11">
        <w:rPr>
          <w:rFonts w:cs="Arial"/>
          <w:sz w:val="20"/>
          <w:szCs w:val="20"/>
        </w:rPr>
        <w:t>"</w:t>
      </w:r>
      <w:r w:rsidRPr="00710F11">
        <w:rPr>
          <w:rFonts w:cs="Arial"/>
          <w:sz w:val="20"/>
          <w:szCs w:val="20"/>
        </w:rPr>
        <w:t xml:space="preserve">. </w:t>
      </w:r>
    </w:p>
    <w:p w:rsidR="00AC769A" w:rsidRPr="00710F11" w:rsidRDefault="00AC769A" w:rsidP="00710F11">
      <w:pPr>
        <w:pStyle w:val="WWBodyText2"/>
        <w:tabs>
          <w:tab w:val="left" w:pos="1701"/>
        </w:tabs>
        <w:spacing w:line="360" w:lineRule="auto"/>
        <w:ind w:left="1701" w:right="404" w:hanging="567"/>
        <w:rPr>
          <w:rFonts w:cs="Arial"/>
          <w:sz w:val="20"/>
          <w:szCs w:val="20"/>
        </w:rPr>
      </w:pPr>
      <w:r w:rsidRPr="00710F11">
        <w:rPr>
          <w:rFonts w:cs="Arial"/>
          <w:sz w:val="20"/>
          <w:szCs w:val="20"/>
        </w:rPr>
        <w:t>(3)</w:t>
      </w:r>
      <w:r w:rsidR="00B517DA" w:rsidRPr="00710F11">
        <w:rPr>
          <w:rFonts w:cs="Arial"/>
          <w:sz w:val="20"/>
          <w:szCs w:val="20"/>
        </w:rPr>
        <w:tab/>
      </w:r>
      <w:r w:rsidRPr="00710F11">
        <w:rPr>
          <w:rFonts w:cs="Arial"/>
          <w:sz w:val="20"/>
          <w:szCs w:val="20"/>
        </w:rPr>
        <w:t xml:space="preserve">The Terrorism Act, as well as international law, contemplates two scenarios in which the act might occur: </w:t>
      </w:r>
    </w:p>
    <w:p w:rsidR="00AC769A" w:rsidRPr="00710F11" w:rsidRDefault="00AC769A" w:rsidP="00710F11">
      <w:pPr>
        <w:pStyle w:val="WWBodyText3"/>
        <w:tabs>
          <w:tab w:val="clear" w:pos="3969"/>
          <w:tab w:val="left" w:pos="2268"/>
        </w:tabs>
        <w:spacing w:line="360" w:lineRule="auto"/>
        <w:ind w:left="2268" w:right="404" w:hanging="567"/>
        <w:rPr>
          <w:rFonts w:cs="Arial"/>
          <w:sz w:val="20"/>
          <w:szCs w:val="20"/>
        </w:rPr>
      </w:pPr>
      <w:r w:rsidRPr="00710F11">
        <w:rPr>
          <w:rFonts w:cs="Arial"/>
          <w:sz w:val="20"/>
          <w:szCs w:val="20"/>
        </w:rPr>
        <w:t>(a)</w:t>
      </w:r>
      <w:r w:rsidRPr="00710F11">
        <w:rPr>
          <w:rFonts w:cs="Arial"/>
          <w:sz w:val="20"/>
          <w:szCs w:val="20"/>
        </w:rPr>
        <w:tab/>
      </w:r>
      <w:r w:rsidR="00B517DA" w:rsidRPr="00710F11">
        <w:rPr>
          <w:rFonts w:cs="Arial"/>
          <w:sz w:val="20"/>
          <w:szCs w:val="20"/>
        </w:rPr>
        <w:t>"</w:t>
      </w:r>
      <w:r w:rsidRPr="00710F11">
        <w:rPr>
          <w:rFonts w:cs="Arial"/>
          <w:i/>
          <w:sz w:val="20"/>
          <w:szCs w:val="20"/>
        </w:rPr>
        <w:t>in the exercise or furthe</w:t>
      </w:r>
      <w:r w:rsidR="00B517DA" w:rsidRPr="00710F11">
        <w:rPr>
          <w:rFonts w:cs="Arial"/>
          <w:i/>
          <w:sz w:val="20"/>
          <w:szCs w:val="20"/>
        </w:rPr>
        <w:t xml:space="preserve">rance of their legitimate right </w:t>
      </w:r>
      <w:r w:rsidRPr="00710F11">
        <w:rPr>
          <w:rFonts w:cs="Arial"/>
          <w:i/>
          <w:sz w:val="20"/>
          <w:szCs w:val="20"/>
        </w:rPr>
        <w:t>to national liberation, self-determination and independence against colonialism</w:t>
      </w:r>
      <w:r w:rsidR="00B517DA" w:rsidRPr="00710F11">
        <w:rPr>
          <w:rFonts w:cs="Arial"/>
          <w:sz w:val="20"/>
          <w:szCs w:val="20"/>
        </w:rPr>
        <w:t>"</w:t>
      </w:r>
      <w:r w:rsidRPr="00710F11">
        <w:rPr>
          <w:rFonts w:cs="Arial"/>
          <w:sz w:val="20"/>
          <w:szCs w:val="20"/>
        </w:rPr>
        <w:t xml:space="preserve"> in an armed struggle, or </w:t>
      </w:r>
    </w:p>
    <w:p w:rsidR="00AC769A" w:rsidRPr="00710F11" w:rsidRDefault="00AC769A" w:rsidP="00710F11">
      <w:pPr>
        <w:pStyle w:val="WWBodyText3"/>
        <w:tabs>
          <w:tab w:val="clear" w:pos="3969"/>
          <w:tab w:val="left" w:pos="2268"/>
        </w:tabs>
        <w:spacing w:line="360" w:lineRule="auto"/>
        <w:ind w:left="2268" w:right="404" w:hanging="567"/>
        <w:rPr>
          <w:rFonts w:cs="Arial"/>
          <w:sz w:val="20"/>
          <w:szCs w:val="20"/>
        </w:rPr>
      </w:pPr>
      <w:r w:rsidRPr="00710F11">
        <w:rPr>
          <w:rFonts w:cs="Arial"/>
          <w:sz w:val="20"/>
          <w:szCs w:val="20"/>
        </w:rPr>
        <w:t xml:space="preserve">(b) </w:t>
      </w:r>
      <w:r w:rsidRPr="00710F11">
        <w:rPr>
          <w:rFonts w:cs="Arial"/>
          <w:sz w:val="20"/>
          <w:szCs w:val="20"/>
        </w:rPr>
        <w:tab/>
        <w:t xml:space="preserve">in an </w:t>
      </w:r>
      <w:r w:rsidR="00B517DA" w:rsidRPr="00710F11">
        <w:rPr>
          <w:rFonts w:cs="Arial"/>
          <w:sz w:val="20"/>
          <w:szCs w:val="20"/>
        </w:rPr>
        <w:t>"</w:t>
      </w:r>
      <w:r w:rsidRPr="00710F11">
        <w:rPr>
          <w:rFonts w:cs="Arial"/>
          <w:i/>
          <w:sz w:val="20"/>
          <w:szCs w:val="20"/>
        </w:rPr>
        <w:t>occupation or aggression or domination by alien or foreign forces</w:t>
      </w:r>
      <w:r w:rsidR="00B517DA" w:rsidRPr="00710F11">
        <w:rPr>
          <w:rFonts w:cs="Arial"/>
          <w:sz w:val="20"/>
          <w:szCs w:val="20"/>
        </w:rPr>
        <w:t>"</w:t>
      </w:r>
      <w:r w:rsidRPr="00710F11">
        <w:rPr>
          <w:rFonts w:cs="Arial"/>
          <w:sz w:val="20"/>
          <w:szCs w:val="20"/>
        </w:rPr>
        <w:t>.</w:t>
      </w:r>
    </w:p>
    <w:p w:rsidR="00AA04D2" w:rsidRPr="00D76D5C" w:rsidRDefault="00AC769A" w:rsidP="00B517DA">
      <w:pPr>
        <w:pStyle w:val="WWList1"/>
        <w:keepNext/>
        <w:rPr>
          <w:rFonts w:cs="Arial"/>
        </w:rPr>
      </w:pPr>
      <w:r w:rsidRPr="00D76D5C">
        <w:rPr>
          <w:rFonts w:cs="Arial"/>
        </w:rPr>
        <w:t>First this submission considers the scenario of acts in furtherance of a legitimate interest in national liberation, self-determination</w:t>
      </w:r>
      <w:r w:rsidR="00085260">
        <w:rPr>
          <w:rFonts w:cs="Arial"/>
        </w:rPr>
        <w:t>,</w:t>
      </w:r>
      <w:r w:rsidRPr="00D76D5C">
        <w:rPr>
          <w:rFonts w:cs="Arial"/>
        </w:rPr>
        <w:t xml:space="preserve"> and independence against colonialism. In international law, the concepts of national liberation, self-determination, and independence against colonialism overlap:</w:t>
      </w:r>
    </w:p>
    <w:p w:rsidR="00AC769A" w:rsidRPr="00D76D5C" w:rsidRDefault="00B517DA" w:rsidP="00B517DA">
      <w:pPr>
        <w:pStyle w:val="WWList2"/>
        <w:rPr>
          <w:rFonts w:cs="Arial"/>
        </w:rPr>
      </w:pPr>
      <w:r w:rsidRPr="00D76D5C">
        <w:rPr>
          <w:rFonts w:cs="Arial"/>
        </w:rPr>
        <w:t>'</w:t>
      </w:r>
      <w:r w:rsidR="00AC769A" w:rsidRPr="00D76D5C">
        <w:rPr>
          <w:rFonts w:cs="Arial"/>
        </w:rPr>
        <w:t>National liberation</w:t>
      </w:r>
      <w:r w:rsidRPr="00D76D5C">
        <w:rPr>
          <w:rFonts w:cs="Arial"/>
        </w:rPr>
        <w:t>'</w:t>
      </w:r>
      <w:r w:rsidR="00AC769A" w:rsidRPr="00D76D5C">
        <w:rPr>
          <w:rFonts w:cs="Arial"/>
        </w:rPr>
        <w:t xml:space="preserve"> can be defined as armed conflict between a stateless people or national liberation movement against a colonial or occupying power</w:t>
      </w:r>
      <w:r w:rsidR="00AC769A" w:rsidRPr="00D76D5C">
        <w:rPr>
          <w:rFonts w:cs="Arial"/>
          <w:shd w:val="clear" w:color="auto" w:fill="FFFFFF"/>
        </w:rPr>
        <w:t> or racist regime, controlling the territory</w:t>
      </w:r>
      <w:bookmarkStart w:id="3" w:name="m_2947016472367868146__ftnref1"/>
      <w:r w:rsidR="00AC769A" w:rsidRPr="00D76D5C">
        <w:rPr>
          <w:rFonts w:cs="Arial"/>
          <w:shd w:val="clear" w:color="auto" w:fill="FFFFFF"/>
        </w:rPr>
        <w:t>.</w:t>
      </w:r>
      <w:bookmarkEnd w:id="3"/>
      <w:r w:rsidR="00AC769A" w:rsidRPr="00D76D5C">
        <w:rPr>
          <w:rStyle w:val="FootnoteReference"/>
          <w:rFonts w:cs="Arial"/>
          <w:shd w:val="clear" w:color="auto" w:fill="FFFFFF"/>
        </w:rPr>
        <w:footnoteReference w:id="32"/>
      </w:r>
    </w:p>
    <w:p w:rsidR="00AC769A" w:rsidRPr="00D76D5C" w:rsidRDefault="00AC769A" w:rsidP="00B517DA">
      <w:pPr>
        <w:pStyle w:val="WWList2"/>
        <w:rPr>
          <w:rFonts w:cs="Arial"/>
        </w:rPr>
      </w:pPr>
      <w:r w:rsidRPr="00D76D5C">
        <w:rPr>
          <w:rFonts w:cs="Arial"/>
        </w:rPr>
        <w:t xml:space="preserve">The International Court of Justice defined self-determination as </w:t>
      </w:r>
      <w:r w:rsidR="00B517DA" w:rsidRPr="00D76D5C">
        <w:rPr>
          <w:rFonts w:cs="Arial"/>
        </w:rPr>
        <w:t>"</w:t>
      </w:r>
      <w:r w:rsidRPr="00D76D5C">
        <w:rPr>
          <w:rFonts w:cs="Arial"/>
          <w:i/>
        </w:rPr>
        <w:t>the need to pay regard to the freely expressed will of peoples</w:t>
      </w:r>
      <w:r w:rsidR="00B517DA" w:rsidRPr="00D76D5C">
        <w:rPr>
          <w:rFonts w:cs="Arial"/>
        </w:rPr>
        <w:t>"</w:t>
      </w:r>
      <w:r w:rsidRPr="00D76D5C">
        <w:rPr>
          <w:rFonts w:cs="Arial"/>
        </w:rPr>
        <w:t>.</w:t>
      </w:r>
      <w:r w:rsidRPr="00D76D5C">
        <w:rPr>
          <w:rStyle w:val="FootnoteReference"/>
          <w:rFonts w:cs="Arial"/>
        </w:rPr>
        <w:footnoteReference w:id="33"/>
      </w:r>
    </w:p>
    <w:p w:rsidR="00AA04D2" w:rsidRPr="00710F11" w:rsidRDefault="00B517DA" w:rsidP="00B517DA">
      <w:pPr>
        <w:pStyle w:val="WWList2"/>
        <w:rPr>
          <w:rFonts w:cs="Arial"/>
        </w:rPr>
      </w:pPr>
      <w:r w:rsidRPr="00710F11">
        <w:rPr>
          <w:rFonts w:cs="Arial"/>
          <w:shd w:val="clear" w:color="auto" w:fill="FFFFFF"/>
        </w:rPr>
        <w:t>"</w:t>
      </w:r>
      <w:r w:rsidR="00AC769A" w:rsidRPr="00710F11">
        <w:rPr>
          <w:rFonts w:cs="Arial"/>
          <w:shd w:val="clear" w:color="auto" w:fill="FFFFFF"/>
        </w:rPr>
        <w:t xml:space="preserve">The term </w:t>
      </w:r>
      <w:r w:rsidRPr="00710F11">
        <w:rPr>
          <w:rFonts w:cs="Arial"/>
          <w:shd w:val="clear" w:color="auto" w:fill="FFFFFF"/>
        </w:rPr>
        <w:t>'</w:t>
      </w:r>
      <w:r w:rsidR="00AC769A" w:rsidRPr="00710F11">
        <w:rPr>
          <w:rFonts w:cs="Arial"/>
          <w:shd w:val="clear" w:color="auto" w:fill="FFFFFF"/>
        </w:rPr>
        <w:t>colonialism</w:t>
      </w:r>
      <w:r w:rsidRPr="00710F11">
        <w:rPr>
          <w:rFonts w:cs="Arial"/>
          <w:shd w:val="clear" w:color="auto" w:fill="FFFFFF"/>
        </w:rPr>
        <w:t>'</w:t>
      </w:r>
      <w:r w:rsidR="00AC769A" w:rsidRPr="00710F11">
        <w:rPr>
          <w:rFonts w:cs="Arial"/>
          <w:shd w:val="clear" w:color="auto" w:fill="FFFFFF"/>
        </w:rPr>
        <w:t xml:space="preserve"> can generally be defined as a form of conquest involving alien dominance and subjugation.</w:t>
      </w:r>
      <w:r w:rsidRPr="00710F11">
        <w:rPr>
          <w:rStyle w:val="m2947016472367868146msofootnotereference"/>
          <w:rFonts w:cs="Arial"/>
        </w:rPr>
        <w:t>"</w:t>
      </w:r>
      <w:r w:rsidR="00AC769A" w:rsidRPr="00710F11">
        <w:rPr>
          <w:rStyle w:val="FootnoteReference"/>
          <w:rFonts w:cs="Arial"/>
        </w:rPr>
        <w:footnoteReference w:id="34"/>
      </w:r>
      <w:r w:rsidR="00AC769A" w:rsidRPr="00710F11">
        <w:rPr>
          <w:rStyle w:val="m2947016472367868146msofootnotereference"/>
          <w:rFonts w:cs="Arial"/>
        </w:rPr>
        <w:t xml:space="preserve"> </w:t>
      </w:r>
      <w:r w:rsidRPr="00710F11">
        <w:rPr>
          <w:rStyle w:val="m2947016472367868146msofootnotereference"/>
          <w:rFonts w:cs="Arial"/>
        </w:rPr>
        <w:t xml:space="preserve"> </w:t>
      </w:r>
      <w:r w:rsidR="00AC769A" w:rsidRPr="00710F11">
        <w:rPr>
          <w:rFonts w:cs="Arial"/>
        </w:rPr>
        <w:t>Therefore, independence against the same would be, for example, African, American and Asian states’ movements to self-governance from the control of European powers.</w:t>
      </w:r>
    </w:p>
    <w:p w:rsidR="00AA04D2" w:rsidRPr="00D76D5C" w:rsidRDefault="00AC769A" w:rsidP="002B76DC">
      <w:pPr>
        <w:pStyle w:val="WWList2"/>
        <w:rPr>
          <w:rStyle w:val="m2947016472367868146msofootnotereference"/>
          <w:rFonts w:cs="Arial"/>
        </w:rPr>
      </w:pPr>
      <w:r w:rsidRPr="00D76D5C">
        <w:rPr>
          <w:rStyle w:val="m2947016472367868146msofootnotereference"/>
          <w:rFonts w:cs="Arial"/>
        </w:rPr>
        <w:t>For the purposes of determining what this scenario entails, the most informative of these rights may be the right of self-determination, which is enshrined in the Charter of the United Nations,</w:t>
      </w:r>
      <w:r w:rsidRPr="00D76D5C">
        <w:rPr>
          <w:rStyle w:val="FootnoteReference"/>
          <w:rFonts w:cs="Arial"/>
          <w:sz w:val="24"/>
        </w:rPr>
        <w:footnoteReference w:id="35"/>
      </w:r>
      <w:r w:rsidRPr="00D76D5C">
        <w:rPr>
          <w:rStyle w:val="m2947016472367868146msofootnotereference"/>
          <w:rFonts w:cs="Arial"/>
        </w:rPr>
        <w:t xml:space="preserve"> Universal Declaration of Human Rights,</w:t>
      </w:r>
      <w:r w:rsidRPr="00D76D5C">
        <w:rPr>
          <w:rStyle w:val="FootnoteReference"/>
          <w:rFonts w:cs="Arial"/>
          <w:sz w:val="24"/>
        </w:rPr>
        <w:footnoteReference w:id="36"/>
      </w:r>
      <w:r w:rsidRPr="00D76D5C">
        <w:rPr>
          <w:rStyle w:val="m2947016472367868146msofootnotereference"/>
          <w:rFonts w:cs="Arial"/>
        </w:rPr>
        <w:t xml:space="preserve"> International Covenant on Economic, Social and Cultural Rights,</w:t>
      </w:r>
      <w:r w:rsidRPr="00D76D5C">
        <w:rPr>
          <w:rStyle w:val="FootnoteReference"/>
          <w:rFonts w:cs="Arial"/>
          <w:sz w:val="24"/>
        </w:rPr>
        <w:footnoteReference w:id="37"/>
      </w:r>
      <w:r w:rsidRPr="00D76D5C">
        <w:rPr>
          <w:rStyle w:val="m2947016472367868146msofootnotereference"/>
          <w:rFonts w:cs="Arial"/>
        </w:rPr>
        <w:t xml:space="preserve"> International Covenant on Civil and Political Rights,</w:t>
      </w:r>
      <w:r w:rsidRPr="00D76D5C">
        <w:rPr>
          <w:rStyle w:val="FootnoteReference"/>
          <w:rFonts w:cs="Arial"/>
          <w:sz w:val="24"/>
        </w:rPr>
        <w:footnoteReference w:id="38"/>
      </w:r>
      <w:r w:rsidRPr="00D76D5C">
        <w:rPr>
          <w:rStyle w:val="m2947016472367868146msofootnotereference"/>
          <w:rFonts w:cs="Arial"/>
        </w:rPr>
        <w:t xml:space="preserve"> and, as stated above, the African Charter and the South African Constitution.</w:t>
      </w:r>
    </w:p>
    <w:p w:rsidR="00AA04D2" w:rsidRPr="00D76D5C" w:rsidRDefault="00AC769A" w:rsidP="002B76DC">
      <w:pPr>
        <w:pStyle w:val="WWList1"/>
        <w:rPr>
          <w:rFonts w:cs="Arial"/>
        </w:rPr>
      </w:pPr>
      <w:r w:rsidRPr="00D76D5C">
        <w:rPr>
          <w:rStyle w:val="m2947016472367868146msofootnotereference"/>
          <w:rFonts w:cs="Arial"/>
        </w:rPr>
        <w:t xml:space="preserve">While emphasizing the right of self-determination, these legal conventions also support the territorial integrity of a state. The </w:t>
      </w:r>
      <w:r w:rsidRPr="00D76D5C">
        <w:rPr>
          <w:rFonts w:cs="Arial"/>
        </w:rPr>
        <w:t xml:space="preserve">African Charter states in Article 29: </w:t>
      </w:r>
      <w:r w:rsidR="002B76DC" w:rsidRPr="00710F11">
        <w:rPr>
          <w:rFonts w:cs="Arial"/>
          <w:i/>
        </w:rPr>
        <w:t>"</w:t>
      </w:r>
      <w:r w:rsidRPr="00710F11">
        <w:rPr>
          <w:rFonts w:cs="Arial"/>
          <w:i/>
        </w:rPr>
        <w:t>The individual shall also have the duty: In Art 29 (3) Not to compromise the security of the State whose national or resident he is; and in Art 29 (5) To preserve and strengthen the national independence and the territorial integrity of his country and to contribute to its defence in accordance with the law</w:t>
      </w:r>
      <w:r w:rsidR="002B76DC" w:rsidRPr="00710F11">
        <w:rPr>
          <w:rFonts w:cs="Arial"/>
          <w:i/>
        </w:rPr>
        <w:t>"</w:t>
      </w:r>
      <w:r w:rsidRPr="00710F11">
        <w:rPr>
          <w:rFonts w:cs="Arial"/>
          <w:i/>
        </w:rPr>
        <w:t>.</w:t>
      </w:r>
    </w:p>
    <w:p w:rsidR="00AA04D2" w:rsidRPr="00D76D5C" w:rsidRDefault="00AC769A" w:rsidP="002B76DC">
      <w:pPr>
        <w:pStyle w:val="WWList1"/>
        <w:rPr>
          <w:rFonts w:cs="Arial"/>
        </w:rPr>
      </w:pPr>
      <w:r w:rsidRPr="00D76D5C">
        <w:rPr>
          <w:rFonts w:cs="Arial"/>
        </w:rPr>
        <w:t>The Declaration on Principles of International Law concerning Friendly Relations and Cooperation Among States in Accordance with the Charter of the United Nations (hereinafter Declaration on Friendly Relations) offers the distinction made between peoples’ right to self-determination and states’ right to territorial integrity.</w:t>
      </w:r>
      <w:r w:rsidRPr="00D76D5C">
        <w:rPr>
          <w:rStyle w:val="FootnoteReference"/>
          <w:rFonts w:cs="Arial"/>
        </w:rPr>
        <w:footnoteReference w:id="39"/>
      </w:r>
      <w:r w:rsidRPr="00D76D5C">
        <w:rPr>
          <w:rFonts w:cs="Arial"/>
        </w:rPr>
        <w:t xml:space="preserve"> The Declaration on Friendly Relations is not meant to authorise or encourage </w:t>
      </w:r>
      <w:r w:rsidR="004F5B8A" w:rsidRPr="00D76D5C">
        <w:rPr>
          <w:rFonts w:cs="Arial"/>
        </w:rPr>
        <w:t>"</w:t>
      </w:r>
      <w:r w:rsidRPr="00710F11">
        <w:rPr>
          <w:rFonts w:cs="Arial"/>
          <w:u w:val="single"/>
        </w:rPr>
        <w:t xml:space="preserve">any action which would dismember or impair, totally or in part, the territorial integrity or political unity of sovereign and independent States conducting themselves in compliance with the principle of equal rights </w:t>
      </w:r>
      <w:r w:rsidRPr="00710F11">
        <w:rPr>
          <w:rFonts w:cs="Arial"/>
          <w:u w:val="single"/>
          <w:shd w:val="clear" w:color="auto" w:fill="FFFFFF"/>
        </w:rPr>
        <w:t>and self-determination of peoples as described above and thus possessed of a government representing the whole people belonging to the territory without distinction as to race, creed or colour</w:t>
      </w:r>
      <w:r w:rsidRPr="00D76D5C">
        <w:rPr>
          <w:rFonts w:cs="Arial"/>
          <w:shd w:val="clear" w:color="auto" w:fill="FFFFFF"/>
        </w:rPr>
        <w:t>.</w:t>
      </w:r>
      <w:r w:rsidR="002B76DC" w:rsidRPr="00D76D5C">
        <w:rPr>
          <w:rFonts w:cs="Arial"/>
          <w:shd w:val="clear" w:color="auto" w:fill="FFFFFF"/>
        </w:rPr>
        <w:t>"</w:t>
      </w:r>
    </w:p>
    <w:p w:rsidR="00AA04D2" w:rsidRPr="00D76D5C" w:rsidRDefault="00AC769A" w:rsidP="004F5B8A">
      <w:pPr>
        <w:pStyle w:val="WWList1"/>
        <w:rPr>
          <w:rFonts w:cs="Arial"/>
        </w:rPr>
      </w:pPr>
      <w:r w:rsidRPr="00D76D5C">
        <w:rPr>
          <w:rStyle w:val="m2947016472367868146msofootnotereference"/>
          <w:rFonts w:cs="Arial"/>
        </w:rPr>
        <w:t xml:space="preserve">This gives support to the modern parlance of internal self-determination versus external self-determination. </w:t>
      </w:r>
      <w:r w:rsidR="004F5B8A" w:rsidRPr="00D76D5C">
        <w:rPr>
          <w:rStyle w:val="m2947016472367868146msofootnotereference"/>
          <w:rFonts w:cs="Arial"/>
        </w:rPr>
        <w:t>"</w:t>
      </w:r>
      <w:r w:rsidRPr="00D76D5C">
        <w:rPr>
          <w:rFonts w:cs="Arial"/>
          <w:i/>
        </w:rPr>
        <w:t>Internal self-determination</w:t>
      </w:r>
      <w:r w:rsidR="004F5B8A" w:rsidRPr="00D76D5C">
        <w:rPr>
          <w:rFonts w:cs="Arial"/>
          <w:i/>
        </w:rPr>
        <w:t xml:space="preserve"> </w:t>
      </w:r>
      <w:r w:rsidRPr="00D76D5C">
        <w:rPr>
          <w:rFonts w:cs="Arial"/>
          <w:i/>
        </w:rPr>
        <w:t>may refer to various political and social rights; by contrast,</w:t>
      </w:r>
      <w:r w:rsidR="004F5B8A" w:rsidRPr="00D76D5C">
        <w:rPr>
          <w:rFonts w:cs="Arial"/>
          <w:i/>
        </w:rPr>
        <w:t xml:space="preserve"> </w:t>
      </w:r>
      <w:r w:rsidRPr="00D76D5C">
        <w:rPr>
          <w:rFonts w:cs="Arial"/>
          <w:i/>
        </w:rPr>
        <w:t>external self-determination refers to full legal independence/secession for the given ‘people’ from the larger politico-legal state.</w:t>
      </w:r>
      <w:r w:rsidR="004F5B8A" w:rsidRPr="00D76D5C">
        <w:rPr>
          <w:rFonts w:cs="Arial"/>
        </w:rPr>
        <w:t>"</w:t>
      </w:r>
      <w:r w:rsidRPr="00D76D5C">
        <w:rPr>
          <w:rStyle w:val="FootnoteReference"/>
          <w:rFonts w:cs="Arial"/>
          <w:sz w:val="24"/>
        </w:rPr>
        <w:footnoteReference w:id="40"/>
      </w:r>
      <w:r w:rsidRPr="00D76D5C">
        <w:rPr>
          <w:rFonts w:cs="Arial"/>
        </w:rPr>
        <w:t xml:space="preserve"> Every people has the right to internal self-determination or representative governance, but not necessarily external self-determination, which is only available under restricted circumstances in international law.</w:t>
      </w:r>
    </w:p>
    <w:p w:rsidR="00AC769A" w:rsidRPr="00D76D5C" w:rsidRDefault="00AC769A" w:rsidP="004F5B8A">
      <w:pPr>
        <w:pStyle w:val="WWList1"/>
        <w:keepNext/>
        <w:rPr>
          <w:rFonts w:cs="Arial"/>
          <w:shd w:val="clear" w:color="auto" w:fill="FFFFFF"/>
        </w:rPr>
      </w:pPr>
      <w:r w:rsidRPr="00D76D5C">
        <w:rPr>
          <w:rFonts w:cs="Arial"/>
          <w:shd w:val="clear" w:color="auto" w:fill="FFFFFF"/>
        </w:rPr>
        <w:t xml:space="preserve">In other words, as stated by the Canadian Supreme Court in its decision regarding secession for the province of Quebec: </w:t>
      </w:r>
    </w:p>
    <w:p w:rsidR="00AA04D2" w:rsidRPr="00710F11" w:rsidRDefault="004F5B8A" w:rsidP="00710F11">
      <w:pPr>
        <w:pStyle w:val="WWBodyText2"/>
        <w:spacing w:line="360" w:lineRule="auto"/>
        <w:ind w:right="404"/>
        <w:rPr>
          <w:rFonts w:cs="Arial"/>
          <w:sz w:val="20"/>
          <w:szCs w:val="20"/>
          <w:shd w:val="clear" w:color="auto" w:fill="FFFFFF"/>
        </w:rPr>
      </w:pPr>
      <w:r w:rsidRPr="00710F11">
        <w:rPr>
          <w:rFonts w:cs="Arial"/>
          <w:sz w:val="20"/>
          <w:szCs w:val="20"/>
          <w:shd w:val="clear" w:color="auto" w:fill="FFFFFF"/>
        </w:rPr>
        <w:t>"</w:t>
      </w:r>
      <w:r w:rsidR="00AC769A" w:rsidRPr="00710F11">
        <w:rPr>
          <w:rFonts w:cs="Arial"/>
          <w:sz w:val="20"/>
          <w:szCs w:val="20"/>
        </w:rPr>
        <w:t>a state whose government represents the whole of the people or peoples resident within its territory, on a basis of equality and without discrimination, and respects the principles of self-determination in its own internal arrangements, is entitled to the protection under international law of its territorial integrity.</w:t>
      </w:r>
      <w:r w:rsidRPr="00710F11">
        <w:rPr>
          <w:rFonts w:cs="Arial"/>
          <w:sz w:val="20"/>
          <w:szCs w:val="20"/>
        </w:rPr>
        <w:t>"</w:t>
      </w:r>
      <w:r w:rsidR="00AC769A" w:rsidRPr="00710F11">
        <w:rPr>
          <w:rStyle w:val="FootnoteReference"/>
          <w:rFonts w:cs="Arial"/>
          <w:sz w:val="20"/>
          <w:szCs w:val="20"/>
        </w:rPr>
        <w:footnoteReference w:id="41"/>
      </w:r>
    </w:p>
    <w:p w:rsidR="00AA04D2" w:rsidRPr="00D76D5C" w:rsidRDefault="00AC769A" w:rsidP="004F5B8A">
      <w:pPr>
        <w:pStyle w:val="WWList1"/>
        <w:rPr>
          <w:rFonts w:cs="Arial"/>
          <w:shd w:val="clear" w:color="auto" w:fill="FFFFFF"/>
        </w:rPr>
      </w:pPr>
      <w:r w:rsidRPr="00D76D5C">
        <w:rPr>
          <w:rFonts w:cs="Arial"/>
          <w:shd w:val="clear" w:color="auto" w:fill="FFFFFF"/>
        </w:rPr>
        <w:t>Therefore, under the first scenario contemplated by the section 1(4) of the Terrorism Act, a defendant must show that his action was undertaken in an armed struggle wherein the government did not provide or deprived peoples of internal self-determination. Relevant factual findings related to whether internal self-determination exists include the deprived peoples’ (1</w:t>
      </w:r>
      <w:r w:rsidR="004F5B8A" w:rsidRPr="00D76D5C">
        <w:rPr>
          <w:rFonts w:cs="Arial"/>
          <w:shd w:val="clear" w:color="auto" w:fill="FFFFFF"/>
        </w:rPr>
        <w:t>) </w:t>
      </w:r>
      <w:r w:rsidRPr="00D76D5C">
        <w:rPr>
          <w:rFonts w:cs="Arial"/>
          <w:shd w:val="clear" w:color="auto" w:fill="FFFFFF"/>
        </w:rPr>
        <w:t xml:space="preserve">occupation and use of high office,  (2) equitable representation in national institutions, and (3) freedom to make </w:t>
      </w:r>
      <w:r w:rsidR="004F5B8A" w:rsidRPr="00D76D5C">
        <w:rPr>
          <w:rFonts w:cs="Arial"/>
          <w:shd w:val="clear" w:color="auto" w:fill="FFFFFF"/>
        </w:rPr>
        <w:t>"</w:t>
      </w:r>
      <w:r w:rsidRPr="00D76D5C">
        <w:rPr>
          <w:rFonts w:cs="Arial"/>
          <w:shd w:val="clear" w:color="auto" w:fill="FFFFFF"/>
        </w:rPr>
        <w:t>political choices and pursue economic, social and cultural development</w:t>
      </w:r>
      <w:r w:rsidR="004F5B8A" w:rsidRPr="00D76D5C">
        <w:rPr>
          <w:rFonts w:cs="Arial"/>
          <w:shd w:val="clear" w:color="auto" w:fill="FFFFFF"/>
        </w:rPr>
        <w:t>"</w:t>
      </w:r>
      <w:r w:rsidRPr="00D76D5C">
        <w:rPr>
          <w:rFonts w:cs="Arial"/>
          <w:shd w:val="clear" w:color="auto" w:fill="FFFFFF"/>
        </w:rPr>
        <w:t>.</w:t>
      </w:r>
      <w:r w:rsidRPr="00D76D5C">
        <w:rPr>
          <w:rStyle w:val="FootnoteReference"/>
          <w:rFonts w:cs="Arial"/>
          <w:shd w:val="clear" w:color="auto" w:fill="FFFFFF"/>
        </w:rPr>
        <w:footnoteReference w:id="42"/>
      </w:r>
      <w:r w:rsidRPr="00D76D5C">
        <w:rPr>
          <w:rFonts w:cs="Arial"/>
          <w:shd w:val="clear" w:color="auto" w:fill="FFFFFF"/>
        </w:rPr>
        <w:t xml:space="preserve"> </w:t>
      </w:r>
    </w:p>
    <w:p w:rsidR="00AA04D2" w:rsidRPr="00D76D5C" w:rsidRDefault="00AC769A" w:rsidP="004F5B8A">
      <w:pPr>
        <w:pStyle w:val="WWList1"/>
        <w:rPr>
          <w:rStyle w:val="m2947016472367868146msofootnotereference"/>
          <w:rFonts w:cs="Arial"/>
        </w:rPr>
      </w:pPr>
      <w:r w:rsidRPr="00D76D5C">
        <w:rPr>
          <w:rStyle w:val="m2947016472367868146msofootnotereference"/>
          <w:rFonts w:cs="Arial"/>
        </w:rPr>
        <w:t xml:space="preserve">Further, however, this Court should determine if legitimate self-determination </w:t>
      </w:r>
      <w:r w:rsidR="00085260">
        <w:rPr>
          <w:rStyle w:val="m2947016472367868146msofootnotereference"/>
          <w:rFonts w:cs="Arial"/>
        </w:rPr>
        <w:t xml:space="preserve">actually </w:t>
      </w:r>
      <w:r w:rsidRPr="00D76D5C">
        <w:rPr>
          <w:rStyle w:val="m2947016472367868146msofootnotereference"/>
          <w:rFonts w:cs="Arial"/>
        </w:rPr>
        <w:t xml:space="preserve">means external self-determination. Considering the context of self-determination in section 1(4), in the midst of </w:t>
      </w:r>
      <w:r w:rsidR="004F5B8A" w:rsidRPr="00D76D5C">
        <w:rPr>
          <w:rStyle w:val="m2947016472367868146msofootnotereference"/>
          <w:rFonts w:cs="Arial"/>
        </w:rPr>
        <w:t>"</w:t>
      </w:r>
      <w:r w:rsidRPr="00D76D5C">
        <w:rPr>
          <w:rStyle w:val="m2947016472367868146msofootnotereference"/>
          <w:rFonts w:cs="Arial"/>
        </w:rPr>
        <w:t>national liberation</w:t>
      </w:r>
      <w:r w:rsidR="004F5B8A" w:rsidRPr="00D76D5C">
        <w:rPr>
          <w:rStyle w:val="m2947016472367868146msofootnotereference"/>
          <w:rFonts w:cs="Arial"/>
        </w:rPr>
        <w:t>"</w:t>
      </w:r>
      <w:r w:rsidRPr="00D76D5C">
        <w:rPr>
          <w:rStyle w:val="m2947016472367868146msofootnotereference"/>
          <w:rFonts w:cs="Arial"/>
        </w:rPr>
        <w:t xml:space="preserve"> and </w:t>
      </w:r>
      <w:r w:rsidR="004F5B8A" w:rsidRPr="00D76D5C">
        <w:rPr>
          <w:rStyle w:val="m2947016472367868146msofootnotereference"/>
          <w:rFonts w:cs="Arial"/>
        </w:rPr>
        <w:t>"</w:t>
      </w:r>
      <w:r w:rsidRPr="00D76D5C">
        <w:rPr>
          <w:rStyle w:val="m2947016472367868146msofootnotereference"/>
          <w:rFonts w:cs="Arial"/>
        </w:rPr>
        <w:t>independence from colonialism</w:t>
      </w:r>
      <w:r w:rsidR="004F5B8A" w:rsidRPr="00D76D5C">
        <w:rPr>
          <w:rStyle w:val="m2947016472367868146msofootnotereference"/>
          <w:rFonts w:cs="Arial"/>
        </w:rPr>
        <w:t>"</w:t>
      </w:r>
      <w:r w:rsidRPr="00D76D5C">
        <w:rPr>
          <w:rStyle w:val="m2947016472367868146msofootnotereference"/>
          <w:rFonts w:cs="Arial"/>
        </w:rPr>
        <w:t xml:space="preserve">, this seems an appropriate result. If so, </w:t>
      </w:r>
      <w:r w:rsidR="004F5B8A" w:rsidRPr="00710F11">
        <w:rPr>
          <w:rFonts w:cs="Arial"/>
        </w:rPr>
        <w:t>"</w:t>
      </w:r>
      <w:r w:rsidRPr="00710F11">
        <w:rPr>
          <w:rFonts w:cs="Arial"/>
        </w:rPr>
        <w:t>[c]ommentators agree that there are three requirements before a group may successfully assert their right to [e</w:t>
      </w:r>
      <w:r w:rsidR="004F5B8A" w:rsidRPr="00710F11">
        <w:rPr>
          <w:rFonts w:cs="Arial"/>
        </w:rPr>
        <w:t>xternal] self-determination; a) </w:t>
      </w:r>
      <w:r w:rsidRPr="00710F11">
        <w:rPr>
          <w:rFonts w:cs="Arial"/>
        </w:rPr>
        <w:t>they must be a people, b) they must be oppressed, and c) they must have been a colony</w:t>
      </w:r>
      <w:r w:rsidRPr="00710F11">
        <w:rPr>
          <w:rStyle w:val="m2947016472367868146msofootnotereference"/>
          <w:rFonts w:cs="Arial"/>
        </w:rPr>
        <w:t>.</w:t>
      </w:r>
      <w:r w:rsidR="004F5B8A" w:rsidRPr="00710F11">
        <w:rPr>
          <w:rStyle w:val="m2947016472367868146msofootnotereference"/>
          <w:rFonts w:cs="Arial"/>
        </w:rPr>
        <w:t>"</w:t>
      </w:r>
      <w:r w:rsidRPr="00710F11">
        <w:rPr>
          <w:rStyle w:val="FootnoteReference"/>
          <w:rFonts w:cs="Arial"/>
          <w:sz w:val="24"/>
        </w:rPr>
        <w:footnoteReference w:id="43"/>
      </w:r>
    </w:p>
    <w:p w:rsidR="00AA04D2" w:rsidRPr="00D76D5C" w:rsidRDefault="00AC769A" w:rsidP="004F5B8A">
      <w:pPr>
        <w:pStyle w:val="WWList1"/>
        <w:rPr>
          <w:rFonts w:cs="Arial"/>
        </w:rPr>
      </w:pPr>
      <w:r w:rsidRPr="00D76D5C">
        <w:rPr>
          <w:rFonts w:cs="Arial"/>
        </w:rPr>
        <w:t>UNESCO outlined seven characteristics that define a people: a common history, a common racial or ethnic identity, cultural homogeneity, linguistic unity, common religion or ideological affinity, territorial connectedness, and a common economic life.</w:t>
      </w:r>
      <w:r w:rsidRPr="00D76D5C">
        <w:rPr>
          <w:rStyle w:val="FootnoteReference"/>
          <w:rFonts w:cs="Arial"/>
        </w:rPr>
        <w:footnoteReference w:id="44"/>
      </w:r>
      <w:r w:rsidRPr="00D76D5C">
        <w:rPr>
          <w:rFonts w:cs="Arial"/>
        </w:rPr>
        <w:t xml:space="preserve"> </w:t>
      </w:r>
    </w:p>
    <w:p w:rsidR="00AA04D2" w:rsidRPr="00D76D5C" w:rsidRDefault="00AC769A" w:rsidP="004F5B8A">
      <w:pPr>
        <w:pStyle w:val="WWList1"/>
        <w:rPr>
          <w:rFonts w:cs="Arial"/>
        </w:rPr>
      </w:pPr>
      <w:r w:rsidRPr="00D76D5C">
        <w:rPr>
          <w:rFonts w:cs="Arial"/>
        </w:rPr>
        <w:t>It is generally accepted that physical oppression of a group may give rise to a right of self-determination.</w:t>
      </w:r>
      <w:r w:rsidRPr="00D76D5C">
        <w:rPr>
          <w:rStyle w:val="FootnoteReference"/>
          <w:rFonts w:cs="Arial"/>
        </w:rPr>
        <w:footnoteReference w:id="45"/>
      </w:r>
      <w:r w:rsidRPr="00D76D5C">
        <w:rPr>
          <w:rFonts w:cs="Arial"/>
        </w:rPr>
        <w:t xml:space="preserve"> Cultural oppression may also exist, if the threat to a culture is grave and immediate; it must be demonstrated through an unwillingness of the government to allow a particular culture to express itself.</w:t>
      </w:r>
      <w:r w:rsidRPr="00D76D5C">
        <w:rPr>
          <w:rStyle w:val="FootnoteReference"/>
          <w:rFonts w:cs="Arial"/>
        </w:rPr>
        <w:footnoteReference w:id="46"/>
      </w:r>
      <w:r w:rsidRPr="00D76D5C">
        <w:rPr>
          <w:rFonts w:cs="Arial"/>
        </w:rPr>
        <w:t xml:space="preserve"> The African Charter further recognizes a right to assistance from States in a liberation struggle against foreign economic domination.</w:t>
      </w:r>
      <w:r w:rsidRPr="00D76D5C">
        <w:rPr>
          <w:rStyle w:val="FootnoteReference"/>
          <w:rFonts w:cs="Arial"/>
        </w:rPr>
        <w:footnoteReference w:id="47"/>
      </w:r>
    </w:p>
    <w:p w:rsidR="00AA04D2" w:rsidRPr="00D76D5C" w:rsidRDefault="00AC769A" w:rsidP="004F5B8A">
      <w:pPr>
        <w:pStyle w:val="WWList1"/>
        <w:rPr>
          <w:rFonts w:cs="Arial"/>
        </w:rPr>
      </w:pPr>
      <w:r w:rsidRPr="00D76D5C">
        <w:rPr>
          <w:rFonts w:cs="Arial"/>
        </w:rPr>
        <w:t>The Declaration on Friendly Relations provides that in certain circumstances the right to self-determination may be applied to groups that are not considered traditional former colonies when peoples are subjugated, dominated and exploited.</w:t>
      </w:r>
      <w:r w:rsidRPr="00D76D5C">
        <w:rPr>
          <w:rStyle w:val="FootnoteReference"/>
          <w:rFonts w:cs="Arial"/>
        </w:rPr>
        <w:footnoteReference w:id="48"/>
      </w:r>
      <w:r w:rsidRPr="00D76D5C">
        <w:rPr>
          <w:rFonts w:cs="Arial"/>
        </w:rPr>
        <w:t xml:space="preserve"> This aligns with the African Commission on Human and Peoples’ Rights (hereinafter the African Commission) determination that oppression and domination must be shown to warrant invoking the right to self-determination.</w:t>
      </w:r>
      <w:r w:rsidRPr="00D76D5C">
        <w:rPr>
          <w:rStyle w:val="FootnoteReference"/>
          <w:rFonts w:cs="Arial"/>
        </w:rPr>
        <w:footnoteReference w:id="49"/>
      </w:r>
      <w:r w:rsidRPr="00D76D5C">
        <w:rPr>
          <w:rFonts w:cs="Arial"/>
        </w:rPr>
        <w:t xml:space="preserve"> </w:t>
      </w:r>
    </w:p>
    <w:p w:rsidR="00AA04D2" w:rsidRPr="00D76D5C" w:rsidRDefault="00AC769A" w:rsidP="004F5B8A">
      <w:pPr>
        <w:pStyle w:val="WWList1"/>
        <w:rPr>
          <w:rFonts w:cs="Arial"/>
        </w:rPr>
      </w:pPr>
      <w:r w:rsidRPr="00D76D5C">
        <w:rPr>
          <w:rFonts w:cs="Arial"/>
        </w:rPr>
        <w:t xml:space="preserve">However, the text of the Terrorism Act </w:t>
      </w:r>
      <w:r w:rsidR="00085260">
        <w:rPr>
          <w:rFonts w:cs="Arial"/>
        </w:rPr>
        <w:t>explicitly</w:t>
      </w:r>
      <w:r w:rsidR="00085260" w:rsidRPr="00D76D5C">
        <w:rPr>
          <w:rFonts w:cs="Arial"/>
        </w:rPr>
        <w:t xml:space="preserve"> </w:t>
      </w:r>
      <w:r w:rsidRPr="00D76D5C">
        <w:rPr>
          <w:rFonts w:cs="Arial"/>
        </w:rPr>
        <w:t xml:space="preserve">limits the first scenario to instances of legitimate action for self-determination along with </w:t>
      </w:r>
      <w:r w:rsidR="004F5B8A" w:rsidRPr="00D76D5C">
        <w:rPr>
          <w:rFonts w:cs="Arial"/>
        </w:rPr>
        <w:t>"</w:t>
      </w:r>
      <w:r w:rsidRPr="00D76D5C">
        <w:rPr>
          <w:rFonts w:cs="Arial"/>
        </w:rPr>
        <w:t>national liberation</w:t>
      </w:r>
      <w:r w:rsidR="004F5B8A" w:rsidRPr="00D76D5C">
        <w:rPr>
          <w:rFonts w:cs="Arial"/>
        </w:rPr>
        <w:t>"</w:t>
      </w:r>
      <w:r w:rsidRPr="00D76D5C">
        <w:rPr>
          <w:rFonts w:cs="Arial"/>
        </w:rPr>
        <w:t xml:space="preserve"> and </w:t>
      </w:r>
      <w:r w:rsidR="004F5B8A" w:rsidRPr="00D76D5C">
        <w:rPr>
          <w:rFonts w:cs="Arial"/>
        </w:rPr>
        <w:t>"</w:t>
      </w:r>
      <w:r w:rsidRPr="00D76D5C">
        <w:rPr>
          <w:rFonts w:cs="Arial"/>
        </w:rPr>
        <w:t>independence against colonialism</w:t>
      </w:r>
      <w:r w:rsidR="004F5B8A" w:rsidRPr="00D76D5C">
        <w:rPr>
          <w:rFonts w:cs="Arial"/>
        </w:rPr>
        <w:t>"</w:t>
      </w:r>
      <w:r w:rsidRPr="00D76D5C">
        <w:rPr>
          <w:rFonts w:cs="Arial"/>
        </w:rPr>
        <w:t xml:space="preserve">, which </w:t>
      </w:r>
      <w:r w:rsidR="00085260">
        <w:rPr>
          <w:rFonts w:cs="Arial"/>
        </w:rPr>
        <w:t xml:space="preserve">has the apparent effect of </w:t>
      </w:r>
      <w:r w:rsidRPr="00D76D5C">
        <w:rPr>
          <w:rFonts w:cs="Arial"/>
        </w:rPr>
        <w:t>narrow</w:t>
      </w:r>
      <w:r w:rsidR="00085260">
        <w:rPr>
          <w:rFonts w:cs="Arial"/>
        </w:rPr>
        <w:t xml:space="preserve">ing </w:t>
      </w:r>
      <w:r w:rsidRPr="00D76D5C">
        <w:rPr>
          <w:rFonts w:cs="Arial"/>
        </w:rPr>
        <w:t>the first scenario to the traditional requirements for self-determination. The exception recognised in the Declaration on Friendly Relations seems to be contemplated in the second scenario included in section 1(4).</w:t>
      </w:r>
    </w:p>
    <w:p w:rsidR="00AA04D2" w:rsidRPr="00D76D5C" w:rsidRDefault="00AC769A" w:rsidP="004F5B8A">
      <w:pPr>
        <w:pStyle w:val="WWList1"/>
        <w:rPr>
          <w:rFonts w:cs="Arial"/>
        </w:rPr>
      </w:pPr>
      <w:r w:rsidRPr="00D76D5C">
        <w:rPr>
          <w:rFonts w:cs="Arial"/>
        </w:rPr>
        <w:t>The second circumstance is when there is (1) occupation or aggression or domination</w:t>
      </w:r>
      <w:r w:rsidR="002D68C0">
        <w:rPr>
          <w:rFonts w:cs="Arial"/>
        </w:rPr>
        <w:t xml:space="preserve"> and</w:t>
      </w:r>
      <w:r w:rsidRPr="00D76D5C">
        <w:rPr>
          <w:rFonts w:cs="Arial"/>
        </w:rPr>
        <w:t xml:space="preserve"> (2) by alien or foreign forces.</w:t>
      </w:r>
    </w:p>
    <w:p w:rsidR="00AA04D2" w:rsidRPr="00D76D5C" w:rsidRDefault="00AC769A" w:rsidP="004F5B8A">
      <w:pPr>
        <w:pStyle w:val="WWList1"/>
        <w:rPr>
          <w:rFonts w:cs="Arial"/>
        </w:rPr>
      </w:pPr>
      <w:r w:rsidRPr="00D76D5C">
        <w:rPr>
          <w:rFonts w:cs="Arial"/>
        </w:rPr>
        <w:t xml:space="preserve">Under international humanitarian law, occupation occurs </w:t>
      </w:r>
      <w:r w:rsidR="004F5B8A" w:rsidRPr="00D76D5C">
        <w:rPr>
          <w:rFonts w:cs="Arial"/>
        </w:rPr>
        <w:t>"</w:t>
      </w:r>
      <w:r w:rsidRPr="00D76D5C">
        <w:rPr>
          <w:rFonts w:cs="Arial"/>
        </w:rPr>
        <w:t>when a State exercises an unconsented-to effective control over a territory on which it has no sovereign title.</w:t>
      </w:r>
      <w:r w:rsidR="004F5B8A" w:rsidRPr="00D76D5C">
        <w:rPr>
          <w:rFonts w:cs="Arial"/>
        </w:rPr>
        <w:t>"</w:t>
      </w:r>
      <w:r w:rsidRPr="00D76D5C">
        <w:rPr>
          <w:rStyle w:val="FootnoteReference"/>
          <w:rFonts w:cs="Arial"/>
        </w:rPr>
        <w:footnoteReference w:id="50"/>
      </w:r>
      <w:r w:rsidRPr="00D76D5C">
        <w:rPr>
          <w:rFonts w:cs="Arial"/>
        </w:rPr>
        <w:t xml:space="preserve"> This ends when force is withdrawn or self-determination is exercised.</w:t>
      </w:r>
    </w:p>
    <w:p w:rsidR="00AA04D2" w:rsidRPr="00D76D5C" w:rsidRDefault="00AC769A" w:rsidP="004F5B8A">
      <w:pPr>
        <w:pStyle w:val="WWList1"/>
        <w:rPr>
          <w:rFonts w:cs="Arial"/>
        </w:rPr>
      </w:pPr>
      <w:r w:rsidRPr="00D76D5C">
        <w:rPr>
          <w:rFonts w:cs="Arial"/>
        </w:rPr>
        <w:t>Aggression has been defined by the UNGA to mean the use of armed force by one state against the sovereignty, territorial integrity or political independence of another state, or in any other manner inconsistent with the Charter of the United Nations, as set out in this Definition.</w:t>
      </w:r>
      <w:r w:rsidRPr="00D76D5C">
        <w:rPr>
          <w:rStyle w:val="FootnoteReference"/>
          <w:rFonts w:cs="Arial"/>
        </w:rPr>
        <w:footnoteReference w:id="51"/>
      </w:r>
      <w:r w:rsidRPr="00D76D5C">
        <w:rPr>
          <w:rFonts w:cs="Arial"/>
        </w:rPr>
        <w:t xml:space="preserve"> Article 3 of the same resolution offers a non-exhaustive list, though only includes state actions against another state. </w:t>
      </w:r>
    </w:p>
    <w:p w:rsidR="00AA04D2" w:rsidRPr="00D76D5C" w:rsidRDefault="00AC769A" w:rsidP="004F5B8A">
      <w:pPr>
        <w:pStyle w:val="WWList1"/>
        <w:rPr>
          <w:rFonts w:cs="Arial"/>
        </w:rPr>
      </w:pPr>
      <w:r w:rsidRPr="00D76D5C">
        <w:rPr>
          <w:rFonts w:cs="Arial"/>
        </w:rPr>
        <w:t xml:space="preserve">The Oxford Dictionary defines ‘domination’ as </w:t>
      </w:r>
      <w:r w:rsidR="004F5B8A" w:rsidRPr="00D76D5C">
        <w:rPr>
          <w:rFonts w:cs="Arial"/>
        </w:rPr>
        <w:t>"</w:t>
      </w:r>
      <w:r w:rsidRPr="00D76D5C">
        <w:rPr>
          <w:rFonts w:cs="Arial"/>
          <w:i/>
        </w:rPr>
        <w:t>the exercise of power or influence over someone or something, or the state of being so controlled.</w:t>
      </w:r>
      <w:r w:rsidR="004F5B8A" w:rsidRPr="00D76D5C">
        <w:rPr>
          <w:rFonts w:cs="Arial"/>
        </w:rPr>
        <w:t>"</w:t>
      </w:r>
      <w:r w:rsidRPr="00D76D5C">
        <w:rPr>
          <w:rStyle w:val="FootnoteReference"/>
          <w:rFonts w:cs="Arial"/>
        </w:rPr>
        <w:footnoteReference w:id="52"/>
      </w:r>
    </w:p>
    <w:p w:rsidR="00AA04D2" w:rsidRPr="00D76D5C" w:rsidRDefault="002D68C0" w:rsidP="004F5B8A">
      <w:pPr>
        <w:pStyle w:val="WWList1"/>
        <w:rPr>
          <w:rFonts w:cs="Arial"/>
        </w:rPr>
      </w:pPr>
      <w:r>
        <w:rPr>
          <w:rFonts w:cs="Arial"/>
        </w:rPr>
        <w:t>Before this Court, t</w:t>
      </w:r>
      <w:r w:rsidR="00AC769A" w:rsidRPr="00D76D5C">
        <w:rPr>
          <w:rFonts w:cs="Arial"/>
        </w:rPr>
        <w:t xml:space="preserve">he State argues that alien or foreign forces allows for this scenario to interface with various treaties which refer to non-nationals as either ‘alien’ or ‘foreign’. This is </w:t>
      </w:r>
      <w:r>
        <w:rPr>
          <w:rFonts w:cs="Arial"/>
        </w:rPr>
        <w:t>in support of</w:t>
      </w:r>
      <w:r w:rsidR="00AC769A" w:rsidRPr="00D76D5C">
        <w:rPr>
          <w:rFonts w:cs="Arial"/>
        </w:rPr>
        <w:t xml:space="preserve"> limit</w:t>
      </w:r>
      <w:r>
        <w:rPr>
          <w:rFonts w:cs="Arial"/>
        </w:rPr>
        <w:t>ation of</w:t>
      </w:r>
      <w:r w:rsidR="00AC769A" w:rsidRPr="00D76D5C">
        <w:rPr>
          <w:rFonts w:cs="Arial"/>
        </w:rPr>
        <w:t xml:space="preserve"> the second scenario to a situation where a non-Nigerian military force had taken over the Niger Delta.</w:t>
      </w:r>
    </w:p>
    <w:p w:rsidR="00AA04D2" w:rsidRPr="00D76D5C" w:rsidRDefault="004F5B8A" w:rsidP="004F5B8A">
      <w:pPr>
        <w:pStyle w:val="WWList1"/>
        <w:rPr>
          <w:rFonts w:cs="Arial"/>
        </w:rPr>
      </w:pPr>
      <w:r w:rsidRPr="00D76D5C">
        <w:rPr>
          <w:rFonts w:cs="Arial"/>
        </w:rPr>
        <w:t>"</w:t>
      </w:r>
      <w:r w:rsidR="00AC769A" w:rsidRPr="00D76D5C">
        <w:rPr>
          <w:rFonts w:cs="Arial"/>
        </w:rPr>
        <w:t>Alien</w:t>
      </w:r>
      <w:r w:rsidRPr="00D76D5C">
        <w:rPr>
          <w:rFonts w:cs="Arial"/>
        </w:rPr>
        <w:t>"</w:t>
      </w:r>
      <w:r w:rsidR="00AC769A" w:rsidRPr="00D76D5C">
        <w:rPr>
          <w:rFonts w:cs="Arial"/>
        </w:rPr>
        <w:t xml:space="preserve"> is defined as non-national,</w:t>
      </w:r>
      <w:r w:rsidR="00AC769A" w:rsidRPr="00D76D5C">
        <w:rPr>
          <w:rStyle w:val="FootnoteReference"/>
          <w:rFonts w:cs="Arial"/>
        </w:rPr>
        <w:footnoteReference w:id="53"/>
      </w:r>
      <w:r w:rsidR="00AC769A" w:rsidRPr="00D76D5C">
        <w:rPr>
          <w:rFonts w:cs="Arial"/>
        </w:rPr>
        <w:t xml:space="preserve"> but </w:t>
      </w:r>
      <w:r w:rsidRPr="00D76D5C">
        <w:rPr>
          <w:rFonts w:cs="Arial"/>
        </w:rPr>
        <w:t>"</w:t>
      </w:r>
      <w:r w:rsidR="00AC769A" w:rsidRPr="00D76D5C">
        <w:rPr>
          <w:rFonts w:cs="Arial"/>
        </w:rPr>
        <w:t>foreign</w:t>
      </w:r>
      <w:r w:rsidRPr="00D76D5C">
        <w:rPr>
          <w:rFonts w:cs="Arial"/>
        </w:rPr>
        <w:t>"</w:t>
      </w:r>
      <w:r w:rsidR="00AC769A" w:rsidRPr="00D76D5C">
        <w:rPr>
          <w:rFonts w:cs="Arial"/>
        </w:rPr>
        <w:t xml:space="preserve"> has a broader common definition: </w:t>
      </w:r>
      <w:r w:rsidRPr="00D76D5C">
        <w:rPr>
          <w:rFonts w:cs="Arial"/>
        </w:rPr>
        <w:t>"</w:t>
      </w:r>
      <w:r w:rsidR="00AC769A" w:rsidRPr="00D76D5C">
        <w:rPr>
          <w:rFonts w:cs="Arial"/>
          <w:i/>
        </w:rPr>
        <w:t>Of, from, in, or characteristic of a country or language other than one’s own.</w:t>
      </w:r>
      <w:r w:rsidRPr="00D76D5C">
        <w:rPr>
          <w:rFonts w:cs="Arial"/>
        </w:rPr>
        <w:t>"</w:t>
      </w:r>
      <w:r w:rsidR="00AC769A" w:rsidRPr="00D76D5C">
        <w:rPr>
          <w:rStyle w:val="FootnoteReference"/>
          <w:rFonts w:cs="Arial"/>
        </w:rPr>
        <w:footnoteReference w:id="54"/>
      </w:r>
    </w:p>
    <w:p w:rsidR="00AA04D2" w:rsidRPr="00D76D5C" w:rsidRDefault="00AC769A" w:rsidP="004F5B8A">
      <w:pPr>
        <w:pStyle w:val="WWList1"/>
        <w:rPr>
          <w:rFonts w:cs="Arial"/>
        </w:rPr>
      </w:pPr>
      <w:r w:rsidRPr="00D76D5C">
        <w:rPr>
          <w:rFonts w:cs="Arial"/>
        </w:rPr>
        <w:t xml:space="preserve">SALC submits that the inclusion of </w:t>
      </w:r>
      <w:r w:rsidR="004F5B8A" w:rsidRPr="00D76D5C">
        <w:rPr>
          <w:rFonts w:cs="Arial"/>
        </w:rPr>
        <w:t>"</w:t>
      </w:r>
      <w:r w:rsidRPr="00D76D5C">
        <w:rPr>
          <w:rFonts w:cs="Arial"/>
        </w:rPr>
        <w:t>domination</w:t>
      </w:r>
      <w:r w:rsidR="004F5B8A" w:rsidRPr="00D76D5C">
        <w:rPr>
          <w:rFonts w:cs="Arial"/>
        </w:rPr>
        <w:t>"</w:t>
      </w:r>
      <w:r w:rsidRPr="00D76D5C">
        <w:rPr>
          <w:rFonts w:cs="Arial"/>
        </w:rPr>
        <w:t xml:space="preserve"> and </w:t>
      </w:r>
      <w:r w:rsidR="004F5B8A" w:rsidRPr="00D76D5C">
        <w:rPr>
          <w:rFonts w:cs="Arial"/>
        </w:rPr>
        <w:t>"</w:t>
      </w:r>
      <w:r w:rsidRPr="00D76D5C">
        <w:rPr>
          <w:rFonts w:cs="Arial"/>
        </w:rPr>
        <w:t>foreign</w:t>
      </w:r>
      <w:r w:rsidR="004F5B8A" w:rsidRPr="00D76D5C">
        <w:rPr>
          <w:rFonts w:cs="Arial"/>
        </w:rPr>
        <w:t>"</w:t>
      </w:r>
      <w:r w:rsidRPr="00D76D5C">
        <w:rPr>
          <w:rFonts w:cs="Arial"/>
        </w:rPr>
        <w:t xml:space="preserve"> suggests that the second scenario does not require the involvement of another State’s armed forces, but is more expansive, using the language of African Charter Article 20(3): </w:t>
      </w:r>
      <w:r w:rsidR="004F5B8A" w:rsidRPr="00710F11">
        <w:rPr>
          <w:rFonts w:cs="Arial"/>
        </w:rPr>
        <w:t>"</w:t>
      </w:r>
      <w:r w:rsidRPr="00710F11">
        <w:rPr>
          <w:rFonts w:cs="Arial"/>
        </w:rPr>
        <w:t xml:space="preserve">All peoples shall have the right to the assistance of the States parties to the present Charter in their liberation struggle against </w:t>
      </w:r>
      <w:r w:rsidRPr="00710F11">
        <w:rPr>
          <w:rFonts w:cs="Arial"/>
          <w:u w:val="single"/>
        </w:rPr>
        <w:t>foreign domination</w:t>
      </w:r>
      <w:r w:rsidRPr="00710F11">
        <w:rPr>
          <w:rFonts w:cs="Arial"/>
        </w:rPr>
        <w:t>, be it political, economic or cultural.</w:t>
      </w:r>
      <w:r w:rsidR="004F5B8A" w:rsidRPr="00710F11">
        <w:rPr>
          <w:rFonts w:cs="Arial"/>
        </w:rPr>
        <w:t>"</w:t>
      </w:r>
      <w:r w:rsidRPr="00710F11">
        <w:rPr>
          <w:rFonts w:cs="Arial"/>
        </w:rPr>
        <w:t xml:space="preserve"> (Emphasis added.)</w:t>
      </w:r>
    </w:p>
    <w:p w:rsidR="00AA04D2" w:rsidRPr="00D76D5C" w:rsidRDefault="00AC769A" w:rsidP="00D76D5C">
      <w:pPr>
        <w:pStyle w:val="WWList1"/>
      </w:pPr>
      <w:r w:rsidRPr="00D76D5C">
        <w:t xml:space="preserve">Domination is also present in Article 20(2), which codifies a right of resistance for oppressed peoples </w:t>
      </w:r>
      <w:r w:rsidR="004F5B8A" w:rsidRPr="00D76D5C">
        <w:t>"</w:t>
      </w:r>
      <w:r w:rsidRPr="00D76D5C">
        <w:rPr>
          <w:i/>
        </w:rPr>
        <w:t>to free themselves from the bonds of domination by resorting to any means recognized by the international community.</w:t>
      </w:r>
      <w:r w:rsidR="004F5B8A" w:rsidRPr="00D76D5C">
        <w:t>"</w:t>
      </w:r>
    </w:p>
    <w:p w:rsidR="00AC769A" w:rsidRPr="00D76D5C" w:rsidRDefault="00AC769A" w:rsidP="00D76D5C">
      <w:pPr>
        <w:pStyle w:val="WWList1"/>
      </w:pPr>
      <w:r w:rsidRPr="00D76D5C">
        <w:t>Drawing on the constructions the African Commission has established, Murphy proposed an article 20(2) test with the following elements in the African Human Rights Law Journal.</w:t>
      </w:r>
      <w:r w:rsidRPr="00D76D5C">
        <w:rPr>
          <w:rStyle w:val="FootnoteReference"/>
          <w:rFonts w:cs="Arial"/>
        </w:rPr>
        <w:footnoteReference w:id="55"/>
      </w:r>
      <w:r w:rsidRPr="00D76D5C">
        <w:t xml:space="preserve"> The right to resist exists when there is:</w:t>
      </w:r>
    </w:p>
    <w:p w:rsidR="00AC769A" w:rsidRPr="00D76D5C" w:rsidRDefault="00AC769A" w:rsidP="00D76D5C">
      <w:pPr>
        <w:pStyle w:val="WWList2"/>
      </w:pPr>
      <w:r w:rsidRPr="00D76D5C">
        <w:t>physical, cultural or economic oppression,</w:t>
      </w:r>
      <w:r w:rsidRPr="00D76D5C">
        <w:rPr>
          <w:rStyle w:val="FootnoteReference"/>
          <w:rFonts w:cs="Arial"/>
        </w:rPr>
        <w:footnoteReference w:id="56"/>
      </w:r>
    </w:p>
    <w:p w:rsidR="00AC769A" w:rsidRPr="00D76D5C" w:rsidRDefault="00AC769A" w:rsidP="00D76D5C">
      <w:pPr>
        <w:pStyle w:val="WWList2"/>
      </w:pPr>
      <w:r w:rsidRPr="00D76D5C">
        <w:t>of a people,</w:t>
      </w:r>
      <w:r w:rsidRPr="00D76D5C">
        <w:rPr>
          <w:rStyle w:val="FootnoteReference"/>
          <w:rFonts w:cs="Arial"/>
        </w:rPr>
        <w:footnoteReference w:id="57"/>
      </w:r>
    </w:p>
    <w:p w:rsidR="00AC769A" w:rsidRPr="00D76D5C" w:rsidRDefault="00AC769A" w:rsidP="00D76D5C">
      <w:pPr>
        <w:pStyle w:val="WWList2"/>
      </w:pPr>
      <w:r w:rsidRPr="00D76D5C">
        <w:t>dominated, or denied their right to political or economic self-determination and democratic means of change, particularly by way of exclusion from democratic political participation and representation rights under article 13(1),</w:t>
      </w:r>
      <w:r w:rsidRPr="00D76D5C">
        <w:rPr>
          <w:rStyle w:val="FootnoteReference"/>
          <w:rFonts w:cs="Arial"/>
        </w:rPr>
        <w:footnoteReference w:id="58"/>
      </w:r>
      <w:r w:rsidRPr="00D76D5C">
        <w:t xml:space="preserve"> </w:t>
      </w:r>
    </w:p>
    <w:p w:rsidR="00AC769A" w:rsidRPr="00D76D5C" w:rsidRDefault="00AC769A" w:rsidP="00D76D5C">
      <w:pPr>
        <w:pStyle w:val="WWList2"/>
      </w:pPr>
      <w:r w:rsidRPr="00D76D5C">
        <w:t>without prospect of any other ‘available, effective and sufficient’ remedy,</w:t>
      </w:r>
      <w:r w:rsidRPr="00D76D5C">
        <w:rPr>
          <w:rStyle w:val="FootnoteReference"/>
          <w:rFonts w:cs="Arial"/>
        </w:rPr>
        <w:footnoteReference w:id="59"/>
      </w:r>
    </w:p>
    <w:p w:rsidR="00AA04D2" w:rsidRPr="00D76D5C" w:rsidRDefault="00AC769A" w:rsidP="00D76D5C">
      <w:pPr>
        <w:pStyle w:val="WWList2"/>
      </w:pPr>
      <w:r w:rsidRPr="00D76D5C">
        <w:t>utilising means of resistance authorised under international law, such as the African Charter’s broader human rights framework and the article 27(2) requirement of due regard for the rights of others.</w:t>
      </w:r>
    </w:p>
    <w:p w:rsidR="00AA04D2" w:rsidRPr="00D76D5C" w:rsidRDefault="00AC769A" w:rsidP="00D76D5C">
      <w:pPr>
        <w:pStyle w:val="WWList1"/>
      </w:pPr>
      <w:r w:rsidRPr="00D76D5C">
        <w:t>SALC submits the above test and discussion of Article 20 of the African Charter</w:t>
      </w:r>
      <w:r w:rsidR="002D68C0">
        <w:t>is a relevant and material</w:t>
      </w:r>
      <w:r w:rsidRPr="00D76D5C">
        <w:t xml:space="preserve"> consideration for the Court in its determination of the breadth of the second scenario provided by section 1(4) of the Terrorism Act. There are strong connections between the language adopted by the </w:t>
      </w:r>
      <w:r w:rsidR="002D68C0">
        <w:t>L</w:t>
      </w:r>
      <w:r w:rsidR="002D68C0" w:rsidRPr="00D76D5C">
        <w:t xml:space="preserve">egislature </w:t>
      </w:r>
      <w:r w:rsidRPr="00D76D5C">
        <w:t>and the right to resist as evaluated, implying intent to create an exception for peoples beyond the typical scenario of a colony or occupied territory or State.</w:t>
      </w:r>
    </w:p>
    <w:p w:rsidR="00AA04D2" w:rsidRPr="00D76D5C" w:rsidRDefault="00AC769A" w:rsidP="00D76D5C">
      <w:pPr>
        <w:pStyle w:val="WWList1"/>
      </w:pPr>
      <w:r w:rsidRPr="00D76D5C">
        <w:t>As in Murphy’s Article 20(2) test, even if the potential terrorist action meets the factual basis of either scenario contemplated in section 1(4), the act must be undertaken in accordance with the principles of international law.</w:t>
      </w:r>
    </w:p>
    <w:p w:rsidR="00AA04D2" w:rsidRPr="00D76D5C" w:rsidRDefault="00AC769A" w:rsidP="00D76D5C">
      <w:pPr>
        <w:pStyle w:val="WWList1"/>
      </w:pPr>
      <w:r w:rsidRPr="00D76D5C">
        <w:t xml:space="preserve">Section 1(4) qualifies the exception of </w:t>
      </w:r>
      <w:r w:rsidR="004F5B8A" w:rsidRPr="00D76D5C">
        <w:t>"</w:t>
      </w:r>
      <w:r w:rsidRPr="00D76D5C">
        <w:t>any act committed during a struggle waged by peoples</w:t>
      </w:r>
      <w:r w:rsidR="004F5B8A" w:rsidRPr="00D76D5C">
        <w:t>"</w:t>
      </w:r>
      <w:r w:rsidRPr="00D76D5C">
        <w:t xml:space="preserve"> with the requirement that this act must be done </w:t>
      </w:r>
      <w:r w:rsidR="004F5B8A" w:rsidRPr="00D76D5C">
        <w:t>"</w:t>
      </w:r>
      <w:r w:rsidRPr="00D76D5C">
        <w:rPr>
          <w:i/>
        </w:rPr>
        <w:t>in accordance with the principles of international law, especially international humanitarian law, including the purposes and principles of the Charter of the United Nations and the Declaration on Principles of International Law concerning Friendly Relations and Cooperation among States in accordance with the said Charter.</w:t>
      </w:r>
      <w:r w:rsidR="004F5B8A" w:rsidRPr="00D76D5C">
        <w:t>"</w:t>
      </w:r>
      <w:r w:rsidRPr="00D76D5C">
        <w:t xml:space="preserve"> This suggests that even if the act was done in furtherance of a legitimate struggle waged by peoples, it would only become an exception to prosecution under the Terrorism Act if it was done in accordance with international law principles. </w:t>
      </w:r>
    </w:p>
    <w:p w:rsidR="00AA04D2" w:rsidRPr="00D76D5C" w:rsidRDefault="00AC769A" w:rsidP="00D76D5C">
      <w:pPr>
        <w:pStyle w:val="WWList1"/>
      </w:pPr>
      <w:r w:rsidRPr="00D76D5C">
        <w:t xml:space="preserve">In paragraph 78 of the </w:t>
      </w:r>
      <w:r w:rsidR="002D68C0">
        <w:t xml:space="preserve">Mr Okah’s </w:t>
      </w:r>
      <w:r w:rsidRPr="00D76D5C">
        <w:t xml:space="preserve">supplementary written submissions, </w:t>
      </w:r>
      <w:r w:rsidR="002D68C0">
        <w:t xml:space="preserve">he </w:t>
      </w:r>
      <w:r w:rsidRPr="00D76D5C">
        <w:t xml:space="preserve">argues that the conflict in which he participated was an </w:t>
      </w:r>
      <w:r w:rsidR="004F5B8A" w:rsidRPr="00D76D5C">
        <w:t>"</w:t>
      </w:r>
      <w:r w:rsidRPr="00D76D5C">
        <w:rPr>
          <w:i/>
        </w:rPr>
        <w:t>armed conflict, ‘not of an international character.</w:t>
      </w:r>
      <w:r w:rsidR="00D76D5C">
        <w:t>'</w:t>
      </w:r>
      <w:r w:rsidR="004F5B8A" w:rsidRPr="00D76D5C">
        <w:t>"</w:t>
      </w:r>
      <w:r w:rsidRPr="00D76D5C">
        <w:t xml:space="preserve"> As discussed, courts have convicted people of committing terrorism during times of armed conflict; the existence of an armed conflict does not entirely preclude the possibility of terrorist action if the requisite elements of the crime have been proven. </w:t>
      </w:r>
    </w:p>
    <w:p w:rsidR="00AA04D2" w:rsidRPr="00D76D5C" w:rsidRDefault="00AC769A" w:rsidP="00D76D5C">
      <w:pPr>
        <w:pStyle w:val="WWList1"/>
      </w:pPr>
      <w:r w:rsidRPr="00D76D5C">
        <w:t xml:space="preserve">There are several international law principles that could be applicable to the facts presented. International law prohibits, among other things, the targeting of civilians particularly with the aim to spread terror, use of indiscriminate weapons, and non-proportional attacks. </w:t>
      </w:r>
    </w:p>
    <w:p w:rsidR="00AA04D2" w:rsidRPr="00D76D5C" w:rsidRDefault="00AC769A" w:rsidP="00D76D5C">
      <w:pPr>
        <w:pStyle w:val="WWList1"/>
        <w:rPr>
          <w:spacing w:val="3"/>
          <w:shd w:val="clear" w:color="auto" w:fill="FBFAF6"/>
        </w:rPr>
      </w:pPr>
      <w:r w:rsidRPr="00D76D5C">
        <w:t xml:space="preserve">Article 13(2) of Additional Protocol II which is applicable in non-international armed conflicts explicitly outlaws attacks against the civilian and those whose primary purpose is to terrorise civilians: </w:t>
      </w:r>
      <w:r w:rsidR="004F5B8A" w:rsidRPr="00D76D5C">
        <w:rPr>
          <w:spacing w:val="3"/>
          <w:shd w:val="clear" w:color="auto" w:fill="FBFAF6"/>
        </w:rPr>
        <w:t>"</w:t>
      </w:r>
      <w:r w:rsidRPr="00D76D5C">
        <w:rPr>
          <w:shd w:val="clear" w:color="auto" w:fill="FFFFFF"/>
        </w:rPr>
        <w:t>The civilian population as such, as well as individual civilians, shall not be the object of attack. Acts or threats of violence the primary purpose of which is to spread terror among the civilian population are prohibited.</w:t>
      </w:r>
      <w:r w:rsidR="004F5B8A" w:rsidRPr="00D76D5C">
        <w:rPr>
          <w:shd w:val="clear" w:color="auto" w:fill="FFFFFF"/>
        </w:rPr>
        <w:t>"</w:t>
      </w:r>
      <w:r w:rsidRPr="00D76D5C">
        <w:rPr>
          <w:spacing w:val="3"/>
          <w:shd w:val="clear" w:color="auto" w:fill="FBFAF6"/>
        </w:rPr>
        <w:t xml:space="preserve"> </w:t>
      </w:r>
      <w:r w:rsidRPr="00D76D5C">
        <w:rPr>
          <w:shd w:val="clear" w:color="auto" w:fill="FFFFFF"/>
        </w:rPr>
        <w:t>Both South Africa</w:t>
      </w:r>
      <w:r w:rsidRPr="00D76D5C">
        <w:rPr>
          <w:rStyle w:val="FootnoteReference"/>
          <w:rFonts w:cs="Arial"/>
          <w:sz w:val="24"/>
          <w:shd w:val="clear" w:color="auto" w:fill="FFFFFF"/>
        </w:rPr>
        <w:footnoteReference w:id="60"/>
      </w:r>
      <w:r w:rsidRPr="00D76D5C">
        <w:rPr>
          <w:shd w:val="clear" w:color="auto" w:fill="FFFFFF"/>
        </w:rPr>
        <w:t xml:space="preserve"> and Nigeria</w:t>
      </w:r>
      <w:r w:rsidRPr="00D76D5C">
        <w:rPr>
          <w:rStyle w:val="FootnoteReference"/>
          <w:rFonts w:cs="Arial"/>
          <w:sz w:val="24"/>
          <w:shd w:val="clear" w:color="auto" w:fill="FFFFFF"/>
        </w:rPr>
        <w:footnoteReference w:id="61"/>
      </w:r>
      <w:r w:rsidRPr="00D76D5C">
        <w:rPr>
          <w:shd w:val="clear" w:color="auto" w:fill="FFFFFF"/>
        </w:rPr>
        <w:t xml:space="preserve"> are state parties to Additional Protocol II.</w:t>
      </w:r>
    </w:p>
    <w:p w:rsidR="00AA04D2" w:rsidRPr="00D76D5C" w:rsidRDefault="00AC769A" w:rsidP="00D76D5C">
      <w:pPr>
        <w:pStyle w:val="WWList1"/>
      </w:pPr>
      <w:r w:rsidRPr="00D76D5C">
        <w:t xml:space="preserve">In addition, the protection of civilians and the prohibition of directing attacks at civilians is a norm under customary international law. According to the ICRC, the customary rule is </w:t>
      </w:r>
      <w:r w:rsidR="004F5B8A" w:rsidRPr="00D76D5C">
        <w:t>"</w:t>
      </w:r>
      <w:r w:rsidRPr="00D76D5C">
        <w:rPr>
          <w:i/>
        </w:rPr>
        <w:t>[t]he parties to the conflict must at all times distinguish between civilians and combatants. Attacks may only be directed against combatants. Attacks must not be directed against civilians.</w:t>
      </w:r>
      <w:r w:rsidR="004F5B8A" w:rsidRPr="00D76D5C">
        <w:t>"</w:t>
      </w:r>
      <w:r w:rsidRPr="00D76D5C">
        <w:rPr>
          <w:rStyle w:val="FootnoteReference"/>
          <w:rFonts w:cs="Arial"/>
          <w:sz w:val="24"/>
        </w:rPr>
        <w:footnoteReference w:id="62"/>
      </w:r>
      <w:r w:rsidRPr="00D76D5C">
        <w:t xml:space="preserve"> In addition, </w:t>
      </w:r>
      <w:r w:rsidR="004F5B8A" w:rsidRPr="00D76D5C">
        <w:t>"</w:t>
      </w:r>
      <w:r w:rsidRPr="00D76D5C">
        <w:rPr>
          <w:i/>
        </w:rPr>
        <w:t>State practice established this rule as a norm of customary international law applicable in both international and non-international armed conflicts.</w:t>
      </w:r>
      <w:r w:rsidR="004F5B8A" w:rsidRPr="00D76D5C">
        <w:t>"</w:t>
      </w:r>
      <w:r w:rsidRPr="00D76D5C">
        <w:rPr>
          <w:rStyle w:val="FootnoteReference"/>
          <w:rFonts w:cs="Arial"/>
          <w:sz w:val="24"/>
        </w:rPr>
        <w:footnoteReference w:id="63"/>
      </w:r>
    </w:p>
    <w:p w:rsidR="00AA04D2" w:rsidRPr="00D76D5C" w:rsidRDefault="002D68C0" w:rsidP="00D76D5C">
      <w:pPr>
        <w:pStyle w:val="WWList1"/>
      </w:pPr>
      <w:r>
        <w:t>Mr Okah</w:t>
      </w:r>
      <w:r w:rsidR="00AC769A" w:rsidRPr="00D76D5C">
        <w:t xml:space="preserve"> argues that the attacks were carried out in compliance with international standards in that </w:t>
      </w:r>
      <w:r w:rsidR="004F5B8A" w:rsidRPr="00D76D5C">
        <w:t>"</w:t>
      </w:r>
      <w:r w:rsidR="00AC769A" w:rsidRPr="00D76D5C">
        <w:t xml:space="preserve">the armed struggle … never targeted ‘protected persons’ as contemplated in Article 8 (2) (c) of the Rome Statute. Such protected persons are described in Article 8 (2) (c) of the Statute as persons taking no active part in the hostilities [civilians], including members of armed forces who have laid down their arms and those placed </w:t>
      </w:r>
      <w:r w:rsidR="00AC769A" w:rsidRPr="00D76D5C">
        <w:rPr>
          <w:i/>
        </w:rPr>
        <w:t>hors de combat</w:t>
      </w:r>
      <w:r w:rsidR="00AC769A" w:rsidRPr="00D76D5C">
        <w:t xml:space="preserve"> by sickness, wounds, detention or any other cause.</w:t>
      </w:r>
      <w:r w:rsidR="004F5B8A" w:rsidRPr="00D76D5C">
        <w:t>"</w:t>
      </w:r>
      <w:r w:rsidR="00AC769A" w:rsidRPr="00D76D5C">
        <w:rPr>
          <w:rStyle w:val="FootnoteReference"/>
          <w:rFonts w:cs="Arial"/>
          <w:sz w:val="24"/>
        </w:rPr>
        <w:footnoteReference w:id="64"/>
      </w:r>
    </w:p>
    <w:p w:rsidR="00AA04D2" w:rsidRPr="00D76D5C" w:rsidRDefault="00AC769A" w:rsidP="00D76D5C">
      <w:pPr>
        <w:pStyle w:val="WWList1"/>
      </w:pPr>
      <w:r w:rsidRPr="00D76D5C">
        <w:t xml:space="preserve">Even if </w:t>
      </w:r>
      <w:r w:rsidR="002D68C0">
        <w:t>Mr Okah</w:t>
      </w:r>
      <w:r w:rsidRPr="00D76D5C">
        <w:t xml:space="preserve"> is correct in his assertion that he was targeting appropriate targets, the means used must comport with the international law requirements that govern how one carries out an attack. The ICRC has also found that state practice and other international instruments establish customary rules prohibiting indiscriminate attacks and requiring the use of proportionality in non-international armed conflicts.</w:t>
      </w:r>
      <w:r w:rsidRPr="00D76D5C">
        <w:rPr>
          <w:rStyle w:val="FootnoteReference"/>
          <w:rFonts w:cs="Arial"/>
          <w:sz w:val="24"/>
        </w:rPr>
        <w:footnoteReference w:id="65"/>
      </w:r>
      <w:r w:rsidRPr="00D76D5C">
        <w:t xml:space="preserve"> The rule against indiscriminate attacks prohibit attacks </w:t>
      </w:r>
      <w:r w:rsidR="004F5B8A" w:rsidRPr="00D76D5C">
        <w:t>"</w:t>
      </w:r>
      <w:r w:rsidRPr="00D76D5C">
        <w:rPr>
          <w:i/>
        </w:rPr>
        <w:t>which are not directed at a specific military objective</w:t>
      </w:r>
      <w:r w:rsidR="004F5B8A" w:rsidRPr="00D76D5C">
        <w:t>"</w:t>
      </w:r>
      <w:r w:rsidRPr="00D76D5C">
        <w:t xml:space="preserve"> or </w:t>
      </w:r>
      <w:r w:rsidR="004F5B8A" w:rsidRPr="00D76D5C">
        <w:t>"</w:t>
      </w:r>
      <w:r w:rsidRPr="00D76D5C">
        <w:rPr>
          <w:i/>
        </w:rPr>
        <w:t>which employ a method or means of combat which cannot be directed at a specific military objective.</w:t>
      </w:r>
      <w:r w:rsidR="004F5B8A" w:rsidRPr="00D76D5C">
        <w:t>"</w:t>
      </w:r>
      <w:r w:rsidRPr="00D76D5C">
        <w:rPr>
          <w:rStyle w:val="FootnoteReference"/>
          <w:rFonts w:cs="Arial"/>
          <w:sz w:val="24"/>
        </w:rPr>
        <w:footnoteReference w:id="66"/>
      </w:r>
      <w:r w:rsidRPr="00D76D5C">
        <w:t xml:space="preserve"> Additionally, although civilian casualties are not explicitly prohibited in an armed conflict, attacks expected to have civilian casualties must not be excessive in relation to their military advantage.</w:t>
      </w:r>
      <w:r w:rsidRPr="00D76D5C">
        <w:rPr>
          <w:rStyle w:val="FootnoteReference"/>
          <w:rFonts w:cs="Arial"/>
          <w:sz w:val="24"/>
        </w:rPr>
        <w:footnoteReference w:id="67"/>
      </w:r>
    </w:p>
    <w:p w:rsidR="006B515F" w:rsidRDefault="006B515F" w:rsidP="00D76D5C">
      <w:pPr>
        <w:pStyle w:val="WWList1"/>
      </w:pPr>
      <w:r>
        <w:t>The central contention of Mr Okah</w:t>
      </w:r>
      <w:r w:rsidR="00AC769A" w:rsidRPr="00D76D5C">
        <w:t xml:space="preserve"> is that he was at war with the government, and that in the two bombings </w:t>
      </w:r>
      <w:r>
        <w:t>of which he was a participant</w:t>
      </w:r>
      <w:r w:rsidR="00AC769A" w:rsidRPr="00D76D5C">
        <w:t>, they targeted the government</w:t>
      </w:r>
      <w:r>
        <w:t xml:space="preserve"> itself</w:t>
      </w:r>
      <w:r w:rsidR="00AC769A" w:rsidRPr="00D76D5C">
        <w:t>: Government House Annex (Warri bombing) with several high-ranking state officials</w:t>
      </w:r>
      <w:r w:rsidR="00AC769A" w:rsidRPr="00D76D5C">
        <w:rPr>
          <w:rStyle w:val="FootnoteReference"/>
          <w:rFonts w:cs="Arial"/>
          <w:sz w:val="24"/>
        </w:rPr>
        <w:footnoteReference w:id="68"/>
      </w:r>
      <w:r w:rsidR="00AC769A" w:rsidRPr="00D76D5C">
        <w:t xml:space="preserve"> and Eagle Square (Abuja Bombing) where the President and other state officials were located.</w:t>
      </w:r>
      <w:r w:rsidR="00AC769A" w:rsidRPr="00D76D5C">
        <w:rPr>
          <w:rStyle w:val="FootnoteReference"/>
          <w:rFonts w:cs="Arial"/>
          <w:sz w:val="24"/>
          <w:shd w:val="clear" w:color="auto" w:fill="FFFFFF"/>
        </w:rPr>
        <w:footnoteReference w:id="69"/>
      </w:r>
      <w:r w:rsidR="00AC769A" w:rsidRPr="00D76D5C">
        <w:t xml:space="preserve"> </w:t>
      </w:r>
    </w:p>
    <w:p w:rsidR="006B515F" w:rsidRDefault="006B515F" w:rsidP="00D76D5C">
      <w:pPr>
        <w:pStyle w:val="WWList1"/>
      </w:pPr>
      <w:r>
        <w:t>What this Court should bear in mind, however, is that d</w:t>
      </w:r>
      <w:r w:rsidR="00AC769A" w:rsidRPr="00D76D5C">
        <w:t xml:space="preserve">espite these </w:t>
      </w:r>
      <w:r>
        <w:t>justifications</w:t>
      </w:r>
      <w:r w:rsidR="00AC769A" w:rsidRPr="00D76D5C">
        <w:t>, in both cases, the car bombs were placed on public streets due to the presence of state security forces in the vicinity of the state officials.</w:t>
      </w:r>
      <w:r w:rsidR="00AC769A" w:rsidRPr="00D76D5C">
        <w:rPr>
          <w:rStyle w:val="FootnoteReference"/>
          <w:rFonts w:cs="Arial"/>
          <w:sz w:val="24"/>
        </w:rPr>
        <w:footnoteReference w:id="70"/>
      </w:r>
      <w:r w:rsidR="00AC769A" w:rsidRPr="00D76D5C">
        <w:t xml:space="preserve"> Furthermore, the findings of the trial court seem</w:t>
      </w:r>
      <w:r>
        <w:t>ingly serve</w:t>
      </w:r>
      <w:r w:rsidR="00AC769A" w:rsidRPr="00D76D5C">
        <w:t xml:space="preserve"> to contradict Mr. Okah’s claim that the </w:t>
      </w:r>
      <w:r>
        <w:t xml:space="preserve">means used in executing the </w:t>
      </w:r>
      <w:r w:rsidR="00AC769A" w:rsidRPr="00D76D5C">
        <w:t>attacks could</w:t>
      </w:r>
      <w:r>
        <w:t>, in fact,</w:t>
      </w:r>
      <w:r w:rsidR="00AC769A" w:rsidRPr="00D76D5C">
        <w:t xml:space="preserve"> discriminate between</w:t>
      </w:r>
      <w:r>
        <w:t xml:space="preserve"> “appropriate”</w:t>
      </w:r>
      <w:r w:rsidR="00AC769A" w:rsidRPr="00D76D5C">
        <w:t xml:space="preserve"> targets and civilians. </w:t>
      </w:r>
    </w:p>
    <w:p w:rsidR="00AA04D2" w:rsidRPr="00D76D5C" w:rsidRDefault="00AC769A" w:rsidP="00D76D5C">
      <w:pPr>
        <w:pStyle w:val="WWList1"/>
      </w:pPr>
      <w:r w:rsidRPr="00D76D5C">
        <w:t>The Supreme Court noted that the purpose of the bombings was to cause mass casualties as opposed to selectively hitting the identified targets:</w:t>
      </w:r>
    </w:p>
    <w:p w:rsidR="00AA04D2" w:rsidRPr="00710F11" w:rsidRDefault="004F5B8A" w:rsidP="00710F11">
      <w:pPr>
        <w:pStyle w:val="WWBodyText2"/>
        <w:spacing w:line="360" w:lineRule="auto"/>
        <w:ind w:right="404"/>
        <w:rPr>
          <w:sz w:val="20"/>
          <w:szCs w:val="20"/>
        </w:rPr>
      </w:pPr>
      <w:r w:rsidRPr="00710F11">
        <w:rPr>
          <w:sz w:val="20"/>
          <w:szCs w:val="20"/>
        </w:rPr>
        <w:t>"</w:t>
      </w:r>
      <w:r w:rsidR="00AC769A" w:rsidRPr="00710F11">
        <w:rPr>
          <w:sz w:val="20"/>
          <w:szCs w:val="20"/>
        </w:rPr>
        <w:t xml:space="preserve">In respect to both the Warri and Abuja bombings, two sets of explosives had been utilised, and timing devices had been used to delay the detonation of the second explosion until sometime after the first explosion. </w:t>
      </w:r>
      <w:r w:rsidR="00AC769A" w:rsidRPr="00710F11">
        <w:rPr>
          <w:sz w:val="20"/>
          <w:szCs w:val="20"/>
          <w:u w:val="single"/>
        </w:rPr>
        <w:t>The intention was that a crowd would be attracted to the site of the first explosion, which would then be caught in the blast zone of the second explosion, resulting in maximum injury and death</w:t>
      </w:r>
      <w:r w:rsidR="00AC769A" w:rsidRPr="00710F11">
        <w:rPr>
          <w:sz w:val="20"/>
          <w:szCs w:val="20"/>
        </w:rPr>
        <w:t>.</w:t>
      </w:r>
      <w:r w:rsidRPr="00710F11">
        <w:rPr>
          <w:sz w:val="20"/>
          <w:szCs w:val="20"/>
        </w:rPr>
        <w:t>"</w:t>
      </w:r>
      <w:r w:rsidR="00AC769A" w:rsidRPr="00710F11">
        <w:rPr>
          <w:rStyle w:val="FootnoteReference"/>
          <w:rFonts w:cs="Arial"/>
          <w:sz w:val="20"/>
          <w:szCs w:val="20"/>
        </w:rPr>
        <w:footnoteReference w:id="71"/>
      </w:r>
      <w:r w:rsidR="00AC769A" w:rsidRPr="00710F11">
        <w:rPr>
          <w:sz w:val="20"/>
          <w:szCs w:val="20"/>
        </w:rPr>
        <w:t xml:space="preserve"> (Emphasis added)</w:t>
      </w:r>
    </w:p>
    <w:p w:rsidR="00AA04D2" w:rsidRDefault="00AC769A" w:rsidP="005D3994">
      <w:pPr>
        <w:pStyle w:val="WWList1"/>
      </w:pPr>
      <w:r w:rsidRPr="00D76D5C">
        <w:t xml:space="preserve">In conclusion, in order for an act to qualify as an exception to charges under the Terrorism Act section 1(4), it must be done </w:t>
      </w:r>
      <w:r w:rsidR="004F5B8A" w:rsidRPr="00D76D5C">
        <w:t>"</w:t>
      </w:r>
      <w:r w:rsidRPr="005D3994">
        <w:rPr>
          <w:i/>
        </w:rPr>
        <w:t>in accordance with the principles of international law, especially international humanitarian law</w:t>
      </w:r>
      <w:r w:rsidR="004F5B8A" w:rsidRPr="00D76D5C">
        <w:t>"</w:t>
      </w:r>
      <w:r w:rsidRPr="00D76D5C">
        <w:t>. Therefore, even if Mr. Okah’s assertions are correct that he is a freedom fighter within the meaning of 1(4) who was acting in a non-international armed conflict, the international law applicable to such a situation must still be followed. The Court must analyse from the facts whether Mr. Okah’s conduct not only falls within the conduct of a legitimate freedom fighter, but also whether it comports with international legal standards, some of which have been laid out above</w:t>
      </w:r>
      <w:r w:rsidR="006B515F">
        <w:t>, and which nonetheless serve as a disciplining mechanism on terrorist acts that may be subject to any of the section 1(4) exceptions</w:t>
      </w:r>
      <w:r w:rsidRPr="00D76D5C">
        <w:t>.</w:t>
      </w:r>
    </w:p>
    <w:p w:rsidR="006B515F" w:rsidRPr="00D76D5C" w:rsidRDefault="006B515F" w:rsidP="00710F11">
      <w:pPr>
        <w:pStyle w:val="WWList1"/>
        <w:numPr>
          <w:ilvl w:val="0"/>
          <w:numId w:val="0"/>
        </w:numPr>
        <w:ind w:left="567"/>
      </w:pPr>
    </w:p>
    <w:p w:rsidR="00AA04D2" w:rsidRPr="005D3994" w:rsidRDefault="00AC769A" w:rsidP="005D3994">
      <w:pPr>
        <w:pStyle w:val="WWBodyText"/>
        <w:keepNext/>
        <w:rPr>
          <w:b/>
        </w:rPr>
      </w:pPr>
      <w:r w:rsidRPr="005D3994">
        <w:rPr>
          <w:b/>
        </w:rPr>
        <w:t xml:space="preserve">INTERPRETATION OF THE DEFINITION OF </w:t>
      </w:r>
      <w:r w:rsidR="004F5B8A" w:rsidRPr="005D3994">
        <w:rPr>
          <w:b/>
        </w:rPr>
        <w:t>"</w:t>
      </w:r>
      <w:r w:rsidRPr="005D3994">
        <w:rPr>
          <w:b/>
          <w:i/>
        </w:rPr>
        <w:t>SPECIFIED OFFENCE</w:t>
      </w:r>
      <w:r w:rsidR="004F5B8A" w:rsidRPr="005D3994">
        <w:rPr>
          <w:b/>
        </w:rPr>
        <w:t>"</w:t>
      </w:r>
    </w:p>
    <w:p w:rsidR="00AA04D2" w:rsidRPr="00D76D5C" w:rsidRDefault="00AC769A" w:rsidP="005D3994">
      <w:pPr>
        <w:pStyle w:val="WWList1"/>
      </w:pPr>
      <w:r w:rsidRPr="00D76D5C">
        <w:t xml:space="preserve">The State has argued that the Supreme Court erred in its interpretation of the definition of </w:t>
      </w:r>
      <w:r w:rsidR="004F5B8A" w:rsidRPr="00D76D5C">
        <w:t>"</w:t>
      </w:r>
      <w:r w:rsidRPr="00D76D5C">
        <w:t>specified offence</w:t>
      </w:r>
      <w:r w:rsidR="004F5B8A" w:rsidRPr="00D76D5C">
        <w:t>"</w:t>
      </w:r>
      <w:r w:rsidRPr="00D76D5C">
        <w:t>. The State argues</w:t>
      </w:r>
      <w:r w:rsidR="005D3994">
        <w:t xml:space="preserve"> that the reference to sections </w:t>
      </w:r>
      <w:r w:rsidRPr="00D76D5C">
        <w:t>4, 14 and 23 in the definition of specified offence in the Terrorism Act does not qualify its meaning but rather that the concept bears its defined meaning (</w:t>
      </w:r>
      <w:r w:rsidRPr="00D76D5C">
        <w:rPr>
          <w:i/>
        </w:rPr>
        <w:t>inter alia</w:t>
      </w:r>
      <w:r w:rsidRPr="00D76D5C">
        <w:t xml:space="preserve">) in sections 4, 14 and 23 of the </w:t>
      </w:r>
      <w:r w:rsidR="006B515F">
        <w:t>A</w:t>
      </w:r>
      <w:r w:rsidRPr="00D76D5C">
        <w:t>ct.</w:t>
      </w:r>
    </w:p>
    <w:p w:rsidR="00AA04D2" w:rsidRPr="00D76D5C" w:rsidRDefault="00AC769A" w:rsidP="005D3994">
      <w:pPr>
        <w:pStyle w:val="WWList1"/>
      </w:pPr>
      <w:r w:rsidRPr="00D76D5C">
        <w:t xml:space="preserve">SALC submits that the use of the term </w:t>
      </w:r>
      <w:r w:rsidR="004F5B8A" w:rsidRPr="00D76D5C">
        <w:t>"</w:t>
      </w:r>
      <w:r w:rsidRPr="00D76D5C">
        <w:t>specified offence</w:t>
      </w:r>
      <w:r w:rsidR="004F5B8A" w:rsidRPr="00D76D5C">
        <w:t>"</w:t>
      </w:r>
      <w:r w:rsidRPr="00D76D5C">
        <w:t xml:space="preserve"> throughout the Terrorism Act shows that it bears a meaning broader than </w:t>
      </w:r>
      <w:r w:rsidR="006B515F">
        <w:t>merely</w:t>
      </w:r>
      <w:r w:rsidR="006B515F" w:rsidRPr="00D76D5C">
        <w:t xml:space="preserve"> </w:t>
      </w:r>
      <w:r w:rsidRPr="00D76D5C">
        <w:t>the financing of offences as held by the Supreme Court of Appeal (SCA). A general rule of statutory interpretation is that a term used in a statute must have the same meaning across the entirety of an act.</w:t>
      </w:r>
      <w:r w:rsidR="006B515F">
        <w:rPr>
          <w:rStyle w:val="FootnoteReference"/>
        </w:rPr>
        <w:footnoteReference w:id="72"/>
      </w:r>
      <w:r w:rsidRPr="00D76D5C">
        <w:t xml:space="preserve"> As referenced by the Applicant in para 44 of their founding affidavit, section 4 is titled </w:t>
      </w:r>
      <w:r w:rsidR="004F5B8A" w:rsidRPr="00D76D5C">
        <w:t>"</w:t>
      </w:r>
      <w:r w:rsidRPr="00D76D5C">
        <w:t>Offences associated or connected with financing of specified offences</w:t>
      </w:r>
      <w:r w:rsidR="004F5B8A" w:rsidRPr="00D76D5C">
        <w:t>"</w:t>
      </w:r>
      <w:r w:rsidRPr="00D76D5C">
        <w:t xml:space="preserve">, meaning that the financing itself is not the </w:t>
      </w:r>
      <w:r w:rsidR="004F5B8A" w:rsidRPr="00D76D5C">
        <w:t>"</w:t>
      </w:r>
      <w:r w:rsidRPr="00D76D5C">
        <w:t>specified offence</w:t>
      </w:r>
      <w:r w:rsidR="004F5B8A" w:rsidRPr="00D76D5C">
        <w:t>"</w:t>
      </w:r>
      <w:r w:rsidRPr="00D76D5C">
        <w:t>, the terror-related crime is the specified offence which is then financed.</w:t>
      </w:r>
    </w:p>
    <w:p w:rsidR="00AA04D2" w:rsidRPr="00D76D5C" w:rsidRDefault="00AC769A" w:rsidP="005D3994">
      <w:pPr>
        <w:pStyle w:val="WWList1"/>
      </w:pPr>
      <w:r w:rsidRPr="00D76D5C">
        <w:t xml:space="preserve">Section 4 criminalizes acts such as acquiring, collecting, using, owning, providing or making available, etc. property, </w:t>
      </w:r>
      <w:r w:rsidR="004F5B8A" w:rsidRPr="00D76D5C">
        <w:t>"</w:t>
      </w:r>
      <w:r w:rsidRPr="005D3994">
        <w:rPr>
          <w:i/>
        </w:rPr>
        <w:t>intending that the property, financial or other service or economic support, as the case may be, be used, or while such person knows or ought reasonably to have known or suspected that the property, service or support concerned will be used, directly or indirectly, in whole or in part- (i) to commit or facilitate the commission of a specified offence; (ii) for the benefit of, or on behalf of, or at the direction of, or under the control of an entity which commits or attempts to commit or facilitates the commission of a specified offence</w:t>
      </w:r>
      <w:r w:rsidR="004F5B8A" w:rsidRPr="00D76D5C">
        <w:t>"</w:t>
      </w:r>
      <w:r w:rsidRPr="00D76D5C">
        <w:t xml:space="preserve"> Again the only logical interpretation is that </w:t>
      </w:r>
      <w:r w:rsidR="004F5B8A" w:rsidRPr="00D76D5C">
        <w:t>"</w:t>
      </w:r>
      <w:r w:rsidRPr="00D76D5C">
        <w:t>specified offence</w:t>
      </w:r>
      <w:r w:rsidR="004F5B8A" w:rsidRPr="00D76D5C">
        <w:t>"</w:t>
      </w:r>
      <w:r w:rsidRPr="00D76D5C">
        <w:t xml:space="preserve"> is the terror-related act which is being financed, not the financing itself. The further subsections of section 4, criminalise different aspects of contributing to those who are committing </w:t>
      </w:r>
      <w:r w:rsidR="004F5B8A" w:rsidRPr="00D76D5C">
        <w:t>"</w:t>
      </w:r>
      <w:r w:rsidRPr="00D76D5C">
        <w:t>specified offences</w:t>
      </w:r>
      <w:r w:rsidR="004F5B8A" w:rsidRPr="00D76D5C">
        <w:t>"</w:t>
      </w:r>
      <w:r w:rsidRPr="00D76D5C">
        <w:t>.</w:t>
      </w:r>
    </w:p>
    <w:p w:rsidR="00AA04D2" w:rsidRPr="00D76D5C" w:rsidRDefault="00AC769A" w:rsidP="005D3994">
      <w:pPr>
        <w:pStyle w:val="WWList1"/>
      </w:pPr>
      <w:r w:rsidRPr="00D76D5C">
        <w:t xml:space="preserve">Specified offence is also referenced in section 11, which prohibits harbouring or concealing </w:t>
      </w:r>
      <w:r w:rsidR="004F5B8A" w:rsidRPr="00D76D5C">
        <w:t>"</w:t>
      </w:r>
      <w:r w:rsidRPr="005D3994">
        <w:rPr>
          <w:i/>
        </w:rPr>
        <w:t>persons committing specified offences</w:t>
      </w:r>
      <w:r w:rsidR="004F5B8A" w:rsidRPr="00D76D5C">
        <w:t>"</w:t>
      </w:r>
      <w:r w:rsidRPr="00D76D5C">
        <w:t xml:space="preserve">. Under the SCA’s definition of </w:t>
      </w:r>
      <w:r w:rsidR="004F5B8A" w:rsidRPr="00D76D5C">
        <w:t>"</w:t>
      </w:r>
      <w:r w:rsidRPr="00D76D5C">
        <w:t>specified offence</w:t>
      </w:r>
      <w:r w:rsidR="004F5B8A" w:rsidRPr="00D76D5C">
        <w:t>"</w:t>
      </w:r>
      <w:r w:rsidRPr="00D76D5C">
        <w:t xml:space="preserve">, it is only a crime to harbour or conceal those financing terrorism, but not those who are committing the acts of terrorism or other related acts.  In the case, </w:t>
      </w:r>
      <w:r w:rsidRPr="00710F11">
        <w:rPr>
          <w:b/>
        </w:rPr>
        <w:t>S v Bogaards</w:t>
      </w:r>
      <w:r w:rsidRPr="00D76D5C">
        <w:rPr>
          <w:rStyle w:val="FootnoteReference"/>
          <w:rFonts w:cs="Arial"/>
          <w:i/>
          <w:sz w:val="24"/>
        </w:rPr>
        <w:footnoteReference w:id="73"/>
      </w:r>
      <w:r w:rsidRPr="00D76D5C">
        <w:t>, the Supreme Court of Appeal, addressed a d</w:t>
      </w:r>
      <w:r w:rsidR="005D3994">
        <w:t>efendant charged under sections </w:t>
      </w:r>
      <w:r w:rsidRPr="00D76D5C">
        <w:t xml:space="preserve">11 and 12 of the Act. In defining </w:t>
      </w:r>
      <w:r w:rsidR="004F5B8A" w:rsidRPr="00D76D5C">
        <w:t>"</w:t>
      </w:r>
      <w:r w:rsidRPr="00D76D5C">
        <w:t>specified offence</w:t>
      </w:r>
      <w:r w:rsidR="004F5B8A" w:rsidRPr="00D76D5C">
        <w:t>"</w:t>
      </w:r>
      <w:r w:rsidRPr="00D76D5C">
        <w:t xml:space="preserve"> the Court just relied on what was listed in paragraph (a) under the definition, stating: </w:t>
      </w:r>
    </w:p>
    <w:p w:rsidR="00AA04D2" w:rsidRPr="00710F11" w:rsidRDefault="004F5B8A" w:rsidP="00710F11">
      <w:pPr>
        <w:pStyle w:val="WWBodyText2"/>
        <w:spacing w:line="360" w:lineRule="auto"/>
        <w:ind w:right="404"/>
        <w:rPr>
          <w:sz w:val="20"/>
          <w:szCs w:val="20"/>
        </w:rPr>
      </w:pPr>
      <w:r w:rsidRPr="00710F11">
        <w:rPr>
          <w:sz w:val="20"/>
          <w:szCs w:val="20"/>
        </w:rPr>
        <w:t>"</w:t>
      </w:r>
      <w:r w:rsidR="00AC769A" w:rsidRPr="00710F11">
        <w:rPr>
          <w:sz w:val="20"/>
          <w:szCs w:val="20"/>
        </w:rPr>
        <w:t>In paragraph (a) of the definition of ‘specified offence’ the words are said to mean ‘the offence of terrorism referred to in section 2, an offence associated or connected with terrorist activities referred to in section 3, a Convention offence, or an offence referred</w:t>
      </w:r>
      <w:r w:rsidR="005D3994" w:rsidRPr="00710F11">
        <w:rPr>
          <w:sz w:val="20"/>
          <w:szCs w:val="20"/>
        </w:rPr>
        <w:t xml:space="preserve"> to in section </w:t>
      </w:r>
      <w:r w:rsidR="00AC769A" w:rsidRPr="00710F11">
        <w:rPr>
          <w:sz w:val="20"/>
          <w:szCs w:val="20"/>
        </w:rPr>
        <w:t>13 or 14’.</w:t>
      </w:r>
      <w:r w:rsidRPr="00710F11">
        <w:rPr>
          <w:sz w:val="20"/>
          <w:szCs w:val="20"/>
        </w:rPr>
        <w:t>"</w:t>
      </w:r>
    </w:p>
    <w:p w:rsidR="00AA04D2" w:rsidRPr="00D76D5C" w:rsidRDefault="00AC769A" w:rsidP="005D3994">
      <w:pPr>
        <w:pStyle w:val="WWList1"/>
      </w:pPr>
      <w:r w:rsidRPr="00D76D5C">
        <w:t xml:space="preserve">The Supreme Court did not find that the references to sections 4, 14, and 23 put any limitation on the definition listed in paragraph (a) or (b). When discussing both the Terrorism Act and the Internal Security Act (the Terrorism Act’s predecessor), they acknowledged that </w:t>
      </w:r>
      <w:r w:rsidR="004F5B8A" w:rsidRPr="00D76D5C">
        <w:t>"</w:t>
      </w:r>
      <w:r w:rsidRPr="005D3994">
        <w:rPr>
          <w:i/>
        </w:rPr>
        <w:t>the Legislature’s express intention in both Statutes [was] to criminalise terrorism and terrorist activities and the harbouring, concealing and assisting of such offenders</w:t>
      </w:r>
      <w:r w:rsidR="004F5B8A" w:rsidRPr="00D76D5C">
        <w:t>"</w:t>
      </w:r>
      <w:r w:rsidRPr="00D76D5C">
        <w:t>,</w:t>
      </w:r>
      <w:r w:rsidRPr="00D76D5C">
        <w:rPr>
          <w:rStyle w:val="FootnoteReference"/>
          <w:rFonts w:cs="Arial"/>
          <w:sz w:val="24"/>
        </w:rPr>
        <w:footnoteReference w:id="74"/>
      </w:r>
      <w:r w:rsidRPr="00D76D5C">
        <w:t xml:space="preserve"> not just limited to financing of terrorism. Sections 11 and 12 were not limited to just financial crimes, as the judge stated:</w:t>
      </w:r>
    </w:p>
    <w:p w:rsidR="00AA04D2" w:rsidRPr="00710F11" w:rsidRDefault="004F5B8A" w:rsidP="00710F11">
      <w:pPr>
        <w:pStyle w:val="WWBodyText2"/>
        <w:spacing w:line="360" w:lineRule="auto"/>
        <w:ind w:right="404"/>
        <w:rPr>
          <w:sz w:val="20"/>
          <w:szCs w:val="20"/>
        </w:rPr>
      </w:pPr>
      <w:r w:rsidRPr="00710F11">
        <w:rPr>
          <w:sz w:val="20"/>
          <w:szCs w:val="20"/>
        </w:rPr>
        <w:t>"</w:t>
      </w:r>
      <w:r w:rsidR="00AC769A" w:rsidRPr="00710F11">
        <w:rPr>
          <w:sz w:val="20"/>
          <w:szCs w:val="20"/>
        </w:rPr>
        <w:t>I am mindful that the Terrorism Act did not create new offences as such in ss 11 and 12 in view of the provisions of s 54(4) of the Internal Security Act (quoted above) which also criminalised harbouring and concealing a person known or suspected to have committed acts of t</w:t>
      </w:r>
      <w:r w:rsidR="005D3994" w:rsidRPr="00710F11">
        <w:rPr>
          <w:sz w:val="20"/>
          <w:szCs w:val="20"/>
        </w:rPr>
        <w:t xml:space="preserve">errorism and failing to report </w:t>
      </w:r>
      <w:r w:rsidR="00AC769A" w:rsidRPr="00710F11">
        <w:rPr>
          <w:sz w:val="20"/>
          <w:szCs w:val="20"/>
        </w:rPr>
        <w:t>such person’s presence.</w:t>
      </w:r>
      <w:r w:rsidRPr="00710F11">
        <w:rPr>
          <w:sz w:val="20"/>
          <w:szCs w:val="20"/>
        </w:rPr>
        <w:t>"</w:t>
      </w:r>
      <w:r w:rsidR="00AC769A" w:rsidRPr="00710F11">
        <w:rPr>
          <w:rStyle w:val="FootnoteReference"/>
          <w:rFonts w:cs="Arial"/>
          <w:sz w:val="20"/>
          <w:szCs w:val="20"/>
        </w:rPr>
        <w:footnoteReference w:id="75"/>
      </w:r>
      <w:r w:rsidR="00AC769A" w:rsidRPr="00710F11">
        <w:rPr>
          <w:sz w:val="20"/>
          <w:szCs w:val="20"/>
        </w:rPr>
        <w:t xml:space="preserve"> </w:t>
      </w:r>
    </w:p>
    <w:p w:rsidR="00AA04D2" w:rsidRPr="00D76D5C" w:rsidRDefault="00AC769A" w:rsidP="005D3994">
      <w:pPr>
        <w:pStyle w:val="WWList1"/>
      </w:pPr>
      <w:r w:rsidRPr="00D76D5C">
        <w:t xml:space="preserve">Given the way that the court has previously interpreted </w:t>
      </w:r>
      <w:r w:rsidR="004F5B8A" w:rsidRPr="00D76D5C">
        <w:t>"</w:t>
      </w:r>
      <w:r w:rsidRPr="00D76D5C">
        <w:t>specified offences</w:t>
      </w:r>
      <w:r w:rsidR="004F5B8A" w:rsidRPr="00D76D5C">
        <w:t>"</w:t>
      </w:r>
      <w:r w:rsidRPr="00D76D5C">
        <w:t xml:space="preserve"> in the context of this piece of legislation, the SCA’s interpretation confining the definition of </w:t>
      </w:r>
      <w:r w:rsidR="004F5B8A" w:rsidRPr="00D76D5C">
        <w:t>"</w:t>
      </w:r>
      <w:r w:rsidRPr="00D76D5C">
        <w:t>specified offenses</w:t>
      </w:r>
      <w:r w:rsidR="004F5B8A" w:rsidRPr="00D76D5C">
        <w:t>"</w:t>
      </w:r>
      <w:r w:rsidRPr="00D76D5C">
        <w:t xml:space="preserve"> to financing crimes does not amount to a logical reading of the definition.</w:t>
      </w:r>
    </w:p>
    <w:p w:rsidR="00AA04D2" w:rsidRPr="00D76D5C" w:rsidRDefault="00AC769A" w:rsidP="005D3994">
      <w:pPr>
        <w:pStyle w:val="WWList1"/>
      </w:pPr>
      <w:r w:rsidRPr="00D76D5C">
        <w:t xml:space="preserve">The </w:t>
      </w:r>
      <w:r w:rsidR="004F5B8A" w:rsidRPr="00D76D5C">
        <w:t>"</w:t>
      </w:r>
      <w:r w:rsidRPr="00D76D5C">
        <w:t>specified offence</w:t>
      </w:r>
      <w:r w:rsidR="004F5B8A" w:rsidRPr="00D76D5C">
        <w:t>"</w:t>
      </w:r>
      <w:r w:rsidRPr="00D76D5C">
        <w:t xml:space="preserve"> definition states that </w:t>
      </w:r>
      <w:r w:rsidR="004F5B8A" w:rsidRPr="00D76D5C">
        <w:t>"</w:t>
      </w:r>
      <w:r w:rsidRPr="00D76D5C">
        <w:t>with reference to section</w:t>
      </w:r>
      <w:r w:rsidR="005D3994">
        <w:t> </w:t>
      </w:r>
      <w:r w:rsidRPr="00D76D5C">
        <w:t>4, 14 (in so far as it relates to section 4), and 23</w:t>
      </w:r>
      <w:r w:rsidR="004F5B8A" w:rsidRPr="00D76D5C">
        <w:t>"</w:t>
      </w:r>
      <w:r w:rsidRPr="00D76D5C">
        <w:t xml:space="preserve"> could easily be read just to mean that the term </w:t>
      </w:r>
      <w:r w:rsidR="004F5B8A" w:rsidRPr="00D76D5C">
        <w:t>"</w:t>
      </w:r>
      <w:r w:rsidRPr="00D76D5C">
        <w:t>specified offences</w:t>
      </w:r>
      <w:r w:rsidR="004F5B8A" w:rsidRPr="00D76D5C">
        <w:t>"</w:t>
      </w:r>
      <w:r w:rsidRPr="00D76D5C">
        <w:t xml:space="preserve"> is relevant to those provisions and in those provisions mean the following de</w:t>
      </w:r>
      <w:r w:rsidR="005D3994">
        <w:t>finitions under subsections (a) </w:t>
      </w:r>
      <w:r w:rsidRPr="00D76D5C">
        <w:t xml:space="preserve">and (b). It does not have to be interpreted to </w:t>
      </w:r>
      <w:r w:rsidR="004F5B8A" w:rsidRPr="00D76D5C">
        <w:t>"</w:t>
      </w:r>
      <w:r w:rsidRPr="00D76D5C">
        <w:t>limit</w:t>
      </w:r>
      <w:r w:rsidR="004F5B8A" w:rsidRPr="00D76D5C">
        <w:t>"</w:t>
      </w:r>
      <w:r w:rsidR="005D3994">
        <w:t xml:space="preserve"> subsection (a) and (b) </w:t>
      </w:r>
      <w:r w:rsidRPr="00D76D5C">
        <w:t>to only include financial aspects of the</w:t>
      </w:r>
      <w:r w:rsidR="005D3994">
        <w:t xml:space="preserve"> offences listed in subsections </w:t>
      </w:r>
      <w:r w:rsidRPr="00D76D5C">
        <w:t xml:space="preserve">(a) and (b). </w:t>
      </w:r>
    </w:p>
    <w:p w:rsidR="00AA04D2" w:rsidRPr="00D76D5C" w:rsidRDefault="00AC769A" w:rsidP="005D3994">
      <w:pPr>
        <w:pStyle w:val="WWList1"/>
      </w:pPr>
      <w:r w:rsidRPr="00D76D5C">
        <w:t xml:space="preserve">Furthermore, the SCA’s interpretation would mean that South African Courts would only have extraterritorial jurisdiction over the financing of the offence of terrorism and related offences, but not the actual commission of the offence of terrorism. It makes no sense for the legislature to limit the jurisdiction over such crimes in such an arbitrary manner. The purpose of the Terrorism Act as articulated in the long title and preamble is to provide for measures </w:t>
      </w:r>
      <w:r w:rsidR="004F5B8A" w:rsidRPr="00D76D5C">
        <w:t>"</w:t>
      </w:r>
      <w:r w:rsidRPr="005D3994">
        <w:rPr>
          <w:i/>
        </w:rPr>
        <w:t>to prevent and combat terrorist and related activities</w:t>
      </w:r>
      <w:r w:rsidR="004F5B8A" w:rsidRPr="00D76D5C">
        <w:t>"</w:t>
      </w:r>
      <w:r w:rsidRPr="00D76D5C">
        <w:t xml:space="preserve"> not just the financial aspects of these crimes. Giving courts extraterritorial jurisdiction only in the case of financing a terrorism offence does not serve the greater purpose of the Act. </w:t>
      </w:r>
    </w:p>
    <w:p w:rsidR="00AA04D2" w:rsidRPr="005D3994" w:rsidRDefault="00AC769A" w:rsidP="005D3994">
      <w:pPr>
        <w:pStyle w:val="WWBodyText"/>
        <w:keepNext/>
        <w:rPr>
          <w:b/>
        </w:rPr>
      </w:pPr>
      <w:r w:rsidRPr="005D3994">
        <w:rPr>
          <w:b/>
        </w:rPr>
        <w:t>CONCLUSION</w:t>
      </w:r>
    </w:p>
    <w:p w:rsidR="00AA04D2" w:rsidRDefault="00AC769A" w:rsidP="005D3994">
      <w:pPr>
        <w:pStyle w:val="WWList1"/>
      </w:pPr>
      <w:r w:rsidRPr="00D76D5C">
        <w:t xml:space="preserve">SALC respectfully submits that from the reading of both the State and Mr. Okah’s arguments, the crime of terrorism was committed by Mr. Okah. However, should this Honourable Court decide to accept Mr. Okah’s argument that he should be able to assert his section 1(4) defence at this stage of litigation, SALC’s recommendation is that this Honourable Court should send the matter back to the adjudicating Court for further findings of fact in accordance with the law set forth </w:t>
      </w:r>
      <w:r w:rsidR="000F2DB7">
        <w:t>in these submissions</w:t>
      </w:r>
      <w:r w:rsidRPr="00D76D5C">
        <w:t>.</w:t>
      </w:r>
    </w:p>
    <w:p w:rsidR="00F26F6B" w:rsidRPr="0040571F" w:rsidRDefault="0040571F" w:rsidP="0040571F">
      <w:pPr>
        <w:pStyle w:val="WWList1"/>
        <w:numPr>
          <w:ilvl w:val="0"/>
          <w:numId w:val="0"/>
        </w:numPr>
        <w:spacing w:after="0"/>
        <w:ind w:left="567"/>
        <w:jc w:val="right"/>
        <w:rPr>
          <w:b/>
        </w:rPr>
      </w:pPr>
      <w:r w:rsidRPr="0040571F">
        <w:rPr>
          <w:b/>
        </w:rPr>
        <w:t>Advocate Kameel Premhid</w:t>
      </w:r>
    </w:p>
    <w:p w:rsidR="0040571F" w:rsidRPr="00D76D5C" w:rsidRDefault="0040571F" w:rsidP="0040571F">
      <w:pPr>
        <w:pStyle w:val="WWList1"/>
        <w:numPr>
          <w:ilvl w:val="0"/>
          <w:numId w:val="0"/>
        </w:numPr>
        <w:spacing w:after="0"/>
        <w:ind w:left="567"/>
        <w:jc w:val="right"/>
      </w:pPr>
      <w:r>
        <w:t>24 November 2017</w:t>
      </w:r>
    </w:p>
    <w:p w:rsidR="0040571F" w:rsidRPr="00F84A39" w:rsidRDefault="00F26F6B" w:rsidP="00F84A39">
      <w:pPr>
        <w:spacing w:line="480" w:lineRule="auto"/>
        <w:rPr>
          <w:rFonts w:cs="Arial"/>
          <w:u w:val="single"/>
          <w:lang w:val="en-US"/>
        </w:rPr>
      </w:pPr>
      <w:r>
        <w:rPr>
          <w:rFonts w:cs="Arial"/>
        </w:rPr>
        <w:br w:type="page"/>
      </w:r>
      <w:r w:rsidR="0040571F" w:rsidRPr="00F84A39">
        <w:rPr>
          <w:rFonts w:cs="Arial"/>
          <w:i/>
          <w:u w:val="single"/>
          <w:lang w:eastAsia="en-ZA"/>
        </w:rPr>
        <w:t xml:space="preserve">SALC’S </w:t>
      </w:r>
      <w:r w:rsidR="0040571F" w:rsidRPr="00F84A39">
        <w:rPr>
          <w:rFonts w:cs="Arial"/>
          <w:u w:val="single"/>
          <w:lang w:eastAsia="en-ZA"/>
        </w:rPr>
        <w:t>CHRONOLOGICAL LIST OF AUTHORITIES</w:t>
      </w:r>
    </w:p>
    <w:p w:rsidR="0040571F" w:rsidRPr="00F84A39" w:rsidRDefault="0040571F" w:rsidP="00F84A39">
      <w:pPr>
        <w:pStyle w:val="WWHeading1"/>
        <w:numPr>
          <w:ilvl w:val="0"/>
          <w:numId w:val="37"/>
        </w:numPr>
        <w:rPr>
          <w:b w:val="0"/>
        </w:rPr>
      </w:pPr>
      <w:r w:rsidRPr="00F84A39">
        <w:rPr>
          <w:rFonts w:eastAsia="Calibri"/>
          <w:b w:val="0"/>
          <w:lang w:val="en-US"/>
        </w:rPr>
        <w:t>Protection of Constitutional Democracy Against Terrorism and Related Activities Act 33 of 2004</w:t>
      </w:r>
    </w:p>
    <w:p w:rsidR="0040571F" w:rsidRPr="00F84A39" w:rsidRDefault="0040571F" w:rsidP="00F84A39">
      <w:pPr>
        <w:pStyle w:val="WWList1"/>
      </w:pPr>
      <w:r w:rsidRPr="00F84A39">
        <w:rPr>
          <w:lang w:val="en-US"/>
        </w:rPr>
        <w:t>African Charter on Human and Peoples’ Rights</w:t>
      </w:r>
    </w:p>
    <w:p w:rsidR="0040571F" w:rsidRPr="00F84A39" w:rsidRDefault="0040571F" w:rsidP="00F84A39">
      <w:pPr>
        <w:pStyle w:val="WWList1"/>
      </w:pPr>
      <w:r w:rsidRPr="00F84A39">
        <w:rPr>
          <w:lang w:val="en-US"/>
        </w:rPr>
        <w:t>Antionio Cassesse “The Multifaceted Criminal Notion of Terrorism in International Law” (2006) (4) (5</w:t>
      </w:r>
      <w:r w:rsidRPr="00F84A39">
        <w:rPr>
          <w:i/>
          <w:lang w:val="en-US"/>
        </w:rPr>
        <w:t>) J. Int’l Crim. J.</w:t>
      </w:r>
      <w:r w:rsidRPr="00F84A39">
        <w:rPr>
          <w:lang w:val="en-US"/>
        </w:rPr>
        <w:t xml:space="preserve"> 933</w:t>
      </w:r>
    </w:p>
    <w:p w:rsidR="0040571F" w:rsidRPr="00F84A39" w:rsidRDefault="0040571F" w:rsidP="00F84A39">
      <w:pPr>
        <w:pStyle w:val="WWList1"/>
      </w:pPr>
      <w:r w:rsidRPr="00F84A39">
        <w:rPr>
          <w:rFonts w:eastAsia="Calibri"/>
        </w:rPr>
        <w:t>United Nations Security Council Resolution 1373/2001</w:t>
      </w:r>
    </w:p>
    <w:p w:rsidR="0040571F" w:rsidRPr="00F84A39" w:rsidRDefault="0040571F" w:rsidP="00F84A39">
      <w:pPr>
        <w:pStyle w:val="WWList1"/>
      </w:pPr>
      <w:r w:rsidRPr="00F84A39">
        <w:rPr>
          <w:rFonts w:eastAsia="Calibri"/>
        </w:rPr>
        <w:t>The Convention for the Prevention and Combating of Terrorism adopted by the Organisation of African Unity</w:t>
      </w:r>
    </w:p>
    <w:p w:rsidR="0040571F" w:rsidRPr="00F84A39" w:rsidRDefault="0040571F" w:rsidP="00F84A39">
      <w:pPr>
        <w:pStyle w:val="WWList1"/>
      </w:pPr>
      <w:r w:rsidRPr="00F84A39">
        <w:rPr>
          <w:i/>
        </w:rPr>
        <w:t>Interlocutory Decision on the applicable Law: Terrorism, Conspiracy, Homicide, Perpetration, Cumulative Charging</w:t>
      </w:r>
      <w:r w:rsidRPr="00F84A39">
        <w:t xml:space="preserve"> case, STL-11-01/I (16 February 2011)</w:t>
      </w:r>
    </w:p>
    <w:p w:rsidR="0040571F" w:rsidRPr="00F84A39" w:rsidRDefault="0040571F" w:rsidP="00F84A39">
      <w:pPr>
        <w:pStyle w:val="WWList1"/>
      </w:pPr>
      <w:r w:rsidRPr="00F84A39">
        <w:rPr>
          <w:i/>
        </w:rPr>
        <w:t xml:space="preserve">Suresh v Canada (Minister of Citizenship and Immigration) </w:t>
      </w:r>
      <w:r w:rsidRPr="00F84A39">
        <w:rPr>
          <w:lang w:val="en-US"/>
        </w:rPr>
        <w:t>[2002] 1 S.C.R.3</w:t>
      </w:r>
    </w:p>
    <w:p w:rsidR="0040571F" w:rsidRPr="00F84A39" w:rsidRDefault="0040571F" w:rsidP="00F84A39">
      <w:pPr>
        <w:pStyle w:val="WWList1"/>
      </w:pPr>
      <w:r w:rsidRPr="00F84A39">
        <w:t>International Convention for the Suppression on the Financing of Terrorism, G.A. Res. 54/109, December 9, 1999</w:t>
      </w:r>
    </w:p>
    <w:p w:rsidR="0040571F" w:rsidRPr="00F84A39" w:rsidRDefault="0040571F" w:rsidP="00F84A39">
      <w:pPr>
        <w:pStyle w:val="WWList1"/>
      </w:pPr>
      <w:r w:rsidRPr="00F84A39">
        <w:rPr>
          <w:i/>
        </w:rPr>
        <w:t>Italy v Abdelaziz and ors, Final Judgment</w:t>
      </w:r>
      <w:r w:rsidRPr="00F84A39">
        <w:t>, No. 1072, (2007) 17 Guida al Diritto 90, ILDC 559 (IT 2007), 17</w:t>
      </w:r>
      <w:r w:rsidRPr="00F84A39">
        <w:rPr>
          <w:vertAlign w:val="superscript"/>
        </w:rPr>
        <w:t>th</w:t>
      </w:r>
      <w:r w:rsidRPr="00F84A39">
        <w:t xml:space="preserve"> January 2007, Italy; Supreme Court of Cessation; 1</w:t>
      </w:r>
      <w:r w:rsidRPr="00F84A39">
        <w:rPr>
          <w:vertAlign w:val="superscript"/>
        </w:rPr>
        <w:t>st</w:t>
      </w:r>
      <w:r w:rsidRPr="00F84A39">
        <w:t xml:space="preserve"> Criminal Section.</w:t>
      </w:r>
    </w:p>
    <w:p w:rsidR="0040571F" w:rsidRPr="00F84A39" w:rsidRDefault="0040571F" w:rsidP="00F84A39">
      <w:pPr>
        <w:pStyle w:val="WWList1"/>
      </w:pPr>
      <w:r w:rsidRPr="00F84A39">
        <w:t xml:space="preserve"> “The applicability of IHL to terrorism and counterterrorism” </w:t>
      </w:r>
      <w:r w:rsidRPr="00F84A39">
        <w:rPr>
          <w:i/>
        </w:rPr>
        <w:t xml:space="preserve">International Committee of the Red </w:t>
      </w:r>
      <w:r w:rsidRPr="00F84A39">
        <w:t>Cross (1 October 2015) available https://www.icrc.org/en/document/applicability-ihl-terrorism-and-counterterrorism (last accessed: 22 November 2017)</w:t>
      </w:r>
    </w:p>
    <w:p w:rsidR="0040571F" w:rsidRPr="00F84A39" w:rsidRDefault="0040571F" w:rsidP="00F84A39">
      <w:pPr>
        <w:pStyle w:val="WWList1"/>
      </w:pPr>
      <w:r w:rsidRPr="00F84A39">
        <w:t>Constitution of the Republic of South Africa, 1996</w:t>
      </w:r>
    </w:p>
    <w:p w:rsidR="0040571F" w:rsidRPr="00F84A39" w:rsidRDefault="0040571F" w:rsidP="00F84A39">
      <w:pPr>
        <w:pStyle w:val="WWList1"/>
      </w:pPr>
      <w:r w:rsidRPr="00F84A39">
        <w:rPr>
          <w:lang w:val="en-US"/>
        </w:rPr>
        <w:t xml:space="preserve"> “List of Countries which have Signed, Ratified/Acceded to the OAU Convention on the Prevention and Combatting of Terrorism” </w:t>
      </w:r>
      <w:r w:rsidRPr="00F84A39">
        <w:rPr>
          <w:i/>
          <w:lang w:val="en-US"/>
        </w:rPr>
        <w:t>African Union</w:t>
      </w:r>
      <w:r w:rsidRPr="00F84A39">
        <w:rPr>
          <w:lang w:val="en-US"/>
        </w:rPr>
        <w:t xml:space="preserve"> (15 June 2017) available at </w:t>
      </w:r>
      <w:r w:rsidRPr="00F84A39">
        <w:t>https://au.int/sites/default/files/treaties/7779-sl-oau_convention_on_the_prevention_and_combating_of_terrorism_1.pdf</w:t>
      </w:r>
      <w:r w:rsidRPr="00F84A39">
        <w:rPr>
          <w:lang w:val="en-US"/>
        </w:rPr>
        <w:t xml:space="preserve"> (last accessed: 22 November 2017)</w:t>
      </w:r>
    </w:p>
    <w:p w:rsidR="0040571F" w:rsidRPr="00F84A39" w:rsidRDefault="0040571F" w:rsidP="00F84A39">
      <w:pPr>
        <w:pStyle w:val="WWList1"/>
      </w:pPr>
      <w:r w:rsidRPr="00F84A39">
        <w:rPr>
          <w:lang w:val="en-US"/>
        </w:rPr>
        <w:t xml:space="preserve">“Ratification Table: African Charter on Human and Peoples’ Rights” </w:t>
      </w:r>
      <w:r w:rsidRPr="00F84A39">
        <w:rPr>
          <w:i/>
          <w:lang w:val="en-US"/>
        </w:rPr>
        <w:t>African Commission on Human and Peoples’ Rights</w:t>
      </w:r>
      <w:r w:rsidRPr="00F84A39">
        <w:rPr>
          <w:lang w:val="en-US"/>
        </w:rPr>
        <w:t xml:space="preserve"> available at </w:t>
      </w:r>
      <w:r w:rsidRPr="00F84A39">
        <w:t>http://www.achpr.org/instruments/achpr/ratification/</w:t>
      </w:r>
      <w:r w:rsidRPr="00F84A39">
        <w:rPr>
          <w:lang w:val="en-US"/>
        </w:rPr>
        <w:t xml:space="preserve"> (last accessed: 22 November 2017)</w:t>
      </w:r>
    </w:p>
    <w:p w:rsidR="0040571F" w:rsidRPr="00F84A39" w:rsidRDefault="0040571F" w:rsidP="00F84A39">
      <w:pPr>
        <w:pStyle w:val="WWList1"/>
        <w:rPr>
          <w:lang w:val="en-US"/>
        </w:rPr>
      </w:pPr>
      <w:r w:rsidRPr="00F84A39">
        <w:rPr>
          <w:lang w:val="en-US"/>
        </w:rPr>
        <w:t xml:space="preserve">“International Convention Against the Taking of Hostages” </w:t>
      </w:r>
      <w:r w:rsidRPr="00F84A39">
        <w:rPr>
          <w:i/>
          <w:lang w:val="en-US"/>
        </w:rPr>
        <w:t xml:space="preserve">United Nations Treaty Collection </w:t>
      </w:r>
      <w:r w:rsidRPr="00F84A39">
        <w:rPr>
          <w:lang w:val="en-US"/>
        </w:rPr>
        <w:t xml:space="preserve">available at </w:t>
      </w:r>
      <w:r w:rsidRPr="00F84A39">
        <w:t>https://treaties.un.org/pages/viewdetails.aspx?src=ind&amp;mtdsg_no=xviii-5&amp;chapter=18&amp;lang=en</w:t>
      </w:r>
      <w:r w:rsidRPr="00F84A39">
        <w:rPr>
          <w:lang w:val="en-US"/>
        </w:rPr>
        <w:t xml:space="preserve"> (last accessed: 22 November 2017)</w:t>
      </w:r>
    </w:p>
    <w:p w:rsidR="0040571F" w:rsidRPr="00F84A39" w:rsidRDefault="0040571F" w:rsidP="00F84A39">
      <w:pPr>
        <w:pStyle w:val="WWList1"/>
      </w:pPr>
      <w:r w:rsidRPr="00F84A39">
        <w:rPr>
          <w:lang w:val="en-US"/>
        </w:rPr>
        <w:t xml:space="preserve">Lucia Aleni “Distinguishing Terrorism from Wars of National; Liberation in the Light of International Law” (2008) (6) </w:t>
      </w:r>
      <w:r w:rsidRPr="00F84A39">
        <w:rPr>
          <w:i/>
          <w:lang w:val="en-US"/>
        </w:rPr>
        <w:t>J. Int’l Crim. Just.</w:t>
      </w:r>
      <w:r w:rsidRPr="00F84A39">
        <w:rPr>
          <w:lang w:val="en-US"/>
        </w:rPr>
        <w:t xml:space="preserve"> 525</w:t>
      </w:r>
    </w:p>
    <w:p w:rsidR="0040571F" w:rsidRPr="00F84A39" w:rsidRDefault="0040571F" w:rsidP="00F84A39">
      <w:pPr>
        <w:pStyle w:val="WWList1"/>
      </w:pPr>
      <w:r w:rsidRPr="00F84A39">
        <w:rPr>
          <w:i/>
        </w:rPr>
        <w:t>R v Mohammed Gul</w:t>
      </w:r>
      <w:r w:rsidRPr="00F84A39">
        <w:t>, Case No. 2011/01697/C5, [2012] EWCA Crim 280.</w:t>
      </w:r>
    </w:p>
    <w:p w:rsidR="0040571F" w:rsidRPr="00F84A39" w:rsidRDefault="0040571F" w:rsidP="00F84A39">
      <w:pPr>
        <w:pStyle w:val="WWList1"/>
      </w:pPr>
      <w:r w:rsidRPr="00F84A39">
        <w:rPr>
          <w:i/>
        </w:rPr>
        <w:t>R v Gul</w:t>
      </w:r>
      <w:r w:rsidRPr="00F84A39">
        <w:t xml:space="preserve"> [2013] UKSC 64</w:t>
      </w:r>
    </w:p>
    <w:p w:rsidR="0040571F" w:rsidRPr="00F84A39" w:rsidRDefault="0040571F" w:rsidP="00F84A39">
      <w:pPr>
        <w:pStyle w:val="WWList1"/>
      </w:pPr>
      <w:r w:rsidRPr="00F84A39">
        <w:t xml:space="preserve">D Galzier “Wars of National Liberation” </w:t>
      </w:r>
      <w:r w:rsidRPr="00F84A39">
        <w:rPr>
          <w:i/>
        </w:rPr>
        <w:t>Max Planck Encyclopedia of Public International Law</w:t>
      </w:r>
      <w:r w:rsidRPr="00F84A39">
        <w:t xml:space="preserve"> (May 2009) available at http://opil.ouplaw.com/view/10.1093/law:epil/9780199231690/law-9780199231690-e442</w:t>
      </w:r>
      <w:r w:rsidRPr="00F84A39">
        <w:rPr>
          <w:lang w:val="en-US"/>
        </w:rPr>
        <w:t xml:space="preserve"> (last accessed: 22 November 2017)</w:t>
      </w:r>
    </w:p>
    <w:p w:rsidR="0040571F" w:rsidRPr="00F84A39" w:rsidRDefault="0040571F" w:rsidP="00F84A39">
      <w:pPr>
        <w:pStyle w:val="WWList1"/>
      </w:pPr>
      <w:r w:rsidRPr="00F84A39">
        <w:rPr>
          <w:i/>
        </w:rPr>
        <w:t>Morocco v Spain</w:t>
      </w:r>
      <w:r w:rsidRPr="00F84A39">
        <w:t xml:space="preserve"> (Advisory Opinion) 1975 ICJ 12 (16 October 1975)</w:t>
      </w:r>
    </w:p>
    <w:p w:rsidR="0040571F" w:rsidRPr="00F84A39" w:rsidRDefault="0040571F" w:rsidP="00F84A39">
      <w:pPr>
        <w:pStyle w:val="WWList1"/>
        <w:rPr>
          <w:lang w:val="en-US"/>
        </w:rPr>
      </w:pPr>
      <w:r w:rsidRPr="00F84A39">
        <w:t xml:space="preserve">J Kämmerer “Colonialims” </w:t>
      </w:r>
      <w:r w:rsidRPr="00F84A39">
        <w:rPr>
          <w:i/>
        </w:rPr>
        <w:t>Max Planck Encyclopedia of Public International Law</w:t>
      </w:r>
      <w:r w:rsidRPr="00F84A39">
        <w:t xml:space="preserve"> (May 2008) available at</w:t>
      </w:r>
      <w:r w:rsidRPr="00F84A39">
        <w:rPr>
          <w:lang w:val="en-US"/>
        </w:rPr>
        <w:t xml:space="preserve"> </w:t>
      </w:r>
      <w:r w:rsidRPr="00F84A39">
        <w:t>http://opil.ouplaw.com/view/10.1093/law:epil/9780199231690/law-9780199231690-e690</w:t>
      </w:r>
      <w:r w:rsidRPr="00F84A39">
        <w:rPr>
          <w:lang w:val="en-US"/>
        </w:rPr>
        <w:t xml:space="preserve"> (last accessed: 22 November 2017)</w:t>
      </w:r>
    </w:p>
    <w:p w:rsidR="0040571F" w:rsidRPr="00F84A39" w:rsidRDefault="0040571F" w:rsidP="00F84A39">
      <w:pPr>
        <w:pStyle w:val="WWList1"/>
      </w:pPr>
      <w:r w:rsidRPr="00F84A39">
        <w:rPr>
          <w:lang w:val="en-US"/>
        </w:rPr>
        <w:t>Charter of the United Nations</w:t>
      </w:r>
    </w:p>
    <w:p w:rsidR="0040571F" w:rsidRPr="00F84A39" w:rsidRDefault="0040571F" w:rsidP="00F84A39">
      <w:pPr>
        <w:pStyle w:val="WWList1"/>
        <w:rPr>
          <w:lang w:val="en-US"/>
        </w:rPr>
      </w:pPr>
      <w:r w:rsidRPr="00F84A39">
        <w:t>Universal Declaration of Human Rights United Nations General Assembly Resolution 217A U.N. Doc A/810 (1948)</w:t>
      </w:r>
    </w:p>
    <w:p w:rsidR="0040571F" w:rsidRPr="00F84A39" w:rsidRDefault="0040571F" w:rsidP="00F84A39">
      <w:pPr>
        <w:pStyle w:val="WWList1"/>
      </w:pPr>
      <w:r w:rsidRPr="00F84A39">
        <w:t>International Covenant on Economic, Social and Cultural Rights UN GA Resolution 220 UN Doc A/ 6316, 993 (1996)</w:t>
      </w:r>
    </w:p>
    <w:p w:rsidR="0040571F" w:rsidRPr="00F84A39" w:rsidRDefault="0040571F" w:rsidP="00F84A39">
      <w:pPr>
        <w:pStyle w:val="WWList1"/>
        <w:rPr>
          <w:lang w:val="en-US"/>
        </w:rPr>
      </w:pPr>
      <w:r w:rsidRPr="00F84A39">
        <w:t>International Covenant on Civil and Political Rights UN GA Resolution 220 UN Doc A/6316 at 52 (1966)</w:t>
      </w:r>
    </w:p>
    <w:p w:rsidR="0040571F" w:rsidRPr="00F84A39" w:rsidRDefault="0040571F" w:rsidP="00F84A39">
      <w:pPr>
        <w:pStyle w:val="WWList1"/>
      </w:pPr>
      <w:r w:rsidRPr="00F84A39">
        <w:t>United Nations General Assembly's Declaration on Principles of International Law concerning Friendly Relations and Cooperation Among States in Accordance with the Charter of the United Nations UN GA Resolution 2625 (XXV) UN Doc A/RES/25/2625 (24 October 1970) available at http://www.un-documents.net/a25r2625.htm (last accessed: 22 November 2017)</w:t>
      </w:r>
    </w:p>
    <w:p w:rsidR="0040571F" w:rsidRPr="00F84A39" w:rsidRDefault="0040571F" w:rsidP="00F84A39">
      <w:pPr>
        <w:pStyle w:val="WWList1"/>
      </w:pPr>
      <w:r w:rsidRPr="00F84A39">
        <w:t xml:space="preserve">“Self determination (international law)” </w:t>
      </w:r>
      <w:r w:rsidRPr="00F84A39">
        <w:rPr>
          <w:i/>
        </w:rPr>
        <w:t>Legal Information Institute</w:t>
      </w:r>
      <w:r w:rsidRPr="00F84A39">
        <w:t xml:space="preserve"> available at https://www.law.cornell.edu/wex/self_determination_international_law</w:t>
      </w:r>
      <w:r w:rsidRPr="00F84A39">
        <w:rPr>
          <w:shd w:val="clear" w:color="auto" w:fill="FFFFFF"/>
        </w:rPr>
        <w:t xml:space="preserve"> (last accessed: 22 November 2017)</w:t>
      </w:r>
    </w:p>
    <w:p w:rsidR="0040571F" w:rsidRPr="00F84A39" w:rsidRDefault="0040571F" w:rsidP="00F84A39">
      <w:pPr>
        <w:pStyle w:val="WWList1"/>
      </w:pPr>
      <w:r w:rsidRPr="00F84A39">
        <w:rPr>
          <w:shd w:val="clear" w:color="auto" w:fill="FFFFFF"/>
        </w:rPr>
        <w:t xml:space="preserve">H Moodrick-Even Khen “Between Kurdistan and Catalonia: On the Right to Self-Determination of Peoples” (3 November 2017) available at </w:t>
      </w:r>
      <w:r w:rsidRPr="00F84A39">
        <w:t>https://ilg2.org/2017/11/03/between-kurdistan-and-catalonia-on-the-right-to-self-determination-of-peoples/ (last accessed: 22 November 2017)</w:t>
      </w:r>
    </w:p>
    <w:p w:rsidR="0040571F" w:rsidRPr="00F84A39" w:rsidRDefault="0040571F" w:rsidP="00F84A39">
      <w:pPr>
        <w:pStyle w:val="WWList1"/>
      </w:pPr>
      <w:r w:rsidRPr="00F84A39">
        <w:rPr>
          <w:i/>
        </w:rPr>
        <w:t xml:space="preserve">Reference re Secession of Quebec </w:t>
      </w:r>
      <w:r w:rsidRPr="00F84A39">
        <w:t>[1998] 2 SCR 217</w:t>
      </w:r>
    </w:p>
    <w:p w:rsidR="0040571F" w:rsidRPr="00F84A39" w:rsidRDefault="0040571F" w:rsidP="00F84A39">
      <w:pPr>
        <w:pStyle w:val="WWList1"/>
      </w:pPr>
      <w:r w:rsidRPr="00F84A39">
        <w:t xml:space="preserve">Roya M. Hanna “Right to Self-Determination in In Re Secession of Quebec” 23 </w:t>
      </w:r>
      <w:r w:rsidRPr="00F84A39">
        <w:rPr>
          <w:i/>
        </w:rPr>
        <w:t>Md. J. Int'l L.</w:t>
      </w:r>
      <w:r w:rsidRPr="00F84A39">
        <w:t xml:space="preserve"> 213 (1999) </w:t>
      </w:r>
    </w:p>
    <w:p w:rsidR="0040571F" w:rsidRPr="00F84A39" w:rsidRDefault="0040571F" w:rsidP="00F84A39">
      <w:pPr>
        <w:pStyle w:val="WWList1"/>
      </w:pPr>
      <w:r w:rsidRPr="00F84A39">
        <w:t xml:space="preserve">Gregory Marchildon &amp; Edward Maxwell “Quebec's Right of Secession Under Canadian and International Law” 32 </w:t>
      </w:r>
      <w:r w:rsidRPr="00F84A39">
        <w:rPr>
          <w:i/>
        </w:rPr>
        <w:t>VA. J. Int’l L.</w:t>
      </w:r>
      <w:r w:rsidRPr="00F84A39">
        <w:t xml:space="preserve"> 583 (1992)</w:t>
      </w:r>
    </w:p>
    <w:p w:rsidR="0040571F" w:rsidRPr="00F84A39" w:rsidRDefault="0040571F" w:rsidP="00F84A39">
      <w:pPr>
        <w:pStyle w:val="WWList1"/>
      </w:pPr>
      <w:r w:rsidRPr="00F84A39">
        <w:t xml:space="preserve">Derege Demissie “Note, Self-Determination Including Secession vs. The Territorial Integrity of Nation-States: A Prima Facie Case for Secession” 20 </w:t>
      </w:r>
      <w:r w:rsidRPr="00F84A39">
        <w:rPr>
          <w:i/>
        </w:rPr>
        <w:t>Suffolk Transnat’l L. Rev.</w:t>
      </w:r>
      <w:r w:rsidRPr="00F84A39">
        <w:t xml:space="preserve"> 165 (1996)</w:t>
      </w:r>
    </w:p>
    <w:p w:rsidR="0040571F" w:rsidRPr="00F84A39" w:rsidRDefault="0040571F" w:rsidP="00F84A39">
      <w:pPr>
        <w:pStyle w:val="WWList1"/>
      </w:pPr>
      <w:r w:rsidRPr="00F84A39">
        <w:rPr>
          <w:i/>
        </w:rPr>
        <w:t>Kevin Mgwanga Gunme &amp; Others v Cameroon</w:t>
      </w:r>
      <w:r w:rsidRPr="00F84A39">
        <w:t xml:space="preserve"> (Decision) ACHPR No. 266/03 (27 May 2009)</w:t>
      </w:r>
    </w:p>
    <w:p w:rsidR="0040571F" w:rsidRPr="00F84A39" w:rsidRDefault="0040571F" w:rsidP="00F84A39">
      <w:pPr>
        <w:pStyle w:val="WWList1"/>
        <w:rPr>
          <w:lang w:val="en-US"/>
        </w:rPr>
      </w:pPr>
      <w:r w:rsidRPr="00F84A39">
        <w:t xml:space="preserve"> “</w:t>
      </w:r>
      <w:r w:rsidRPr="00F84A39">
        <w:rPr>
          <w:lang w:val="en-US"/>
        </w:rPr>
        <w:t xml:space="preserve">Contemporary challenges to IHL – Occupation, overview” </w:t>
      </w:r>
      <w:r w:rsidRPr="00F84A39">
        <w:rPr>
          <w:i/>
          <w:lang w:val="en-US"/>
        </w:rPr>
        <w:t xml:space="preserve">International Committee of the Red Cross </w:t>
      </w:r>
      <w:r w:rsidRPr="00F84A39">
        <w:rPr>
          <w:lang w:val="en-US"/>
        </w:rPr>
        <w:t xml:space="preserve">(11 June 2012) available at </w:t>
      </w:r>
      <w:r w:rsidRPr="00F84A39">
        <w:t>https://www.icrc.org/en/document/occupation</w:t>
      </w:r>
      <w:r w:rsidRPr="00F84A39">
        <w:rPr>
          <w:lang w:val="en-US"/>
        </w:rPr>
        <w:t xml:space="preserve"> (last accessed: 22 November 2017).</w:t>
      </w:r>
    </w:p>
    <w:p w:rsidR="0040571F" w:rsidRPr="00F84A39" w:rsidRDefault="0040571F" w:rsidP="00F84A39">
      <w:pPr>
        <w:pStyle w:val="WWList1"/>
        <w:rPr>
          <w:lang w:val="en-US"/>
        </w:rPr>
      </w:pPr>
      <w:r w:rsidRPr="00F84A39">
        <w:t>United Nations General Assembly's Definition of Aggression UN GA Resolution 3314 (XXIX) UN Doc A/RES/29/3314 (14 December 1974) available at http://www.un-documents.net/a29r3314.htm (last accessed: 22 November 2017).</w:t>
      </w:r>
    </w:p>
    <w:p w:rsidR="0040571F" w:rsidRPr="00F84A39" w:rsidRDefault="0040571F" w:rsidP="00F84A39">
      <w:pPr>
        <w:pStyle w:val="WWList1"/>
        <w:rPr>
          <w:lang w:val="en-US"/>
        </w:rPr>
      </w:pPr>
      <w:r w:rsidRPr="00F84A39">
        <w:t xml:space="preserve">“domination” </w:t>
      </w:r>
      <w:r w:rsidRPr="00F84A39">
        <w:rPr>
          <w:i/>
        </w:rPr>
        <w:t>Oxford Dictionaries</w:t>
      </w:r>
      <w:r w:rsidRPr="00F84A39">
        <w:t xml:space="preserve"> available at https://en.oxforddictionaries.com/definition/domination (last accessed: 22 November 2017)</w:t>
      </w:r>
    </w:p>
    <w:p w:rsidR="0040571F" w:rsidRPr="00F84A39" w:rsidRDefault="0040571F" w:rsidP="00F84A39">
      <w:pPr>
        <w:pStyle w:val="WWList1"/>
      </w:pPr>
      <w:r w:rsidRPr="00F84A39">
        <w:t xml:space="preserve">K Hailbronner &amp; J Gagolin “Aliens” </w:t>
      </w:r>
      <w:r w:rsidRPr="00F84A39">
        <w:rPr>
          <w:i/>
        </w:rPr>
        <w:t>Max Planck Encyclopedia of Public International Law</w:t>
      </w:r>
      <w:r w:rsidRPr="00F84A39">
        <w:t xml:space="preserve"> (July 2013) available at http://opil.ouplaw.com/view/10.1093/law:epil/9780199231690/law-9780199231690-e744 (last accessed: 22 November 2017)</w:t>
      </w:r>
    </w:p>
    <w:p w:rsidR="0040571F" w:rsidRPr="00F84A39" w:rsidRDefault="0040571F" w:rsidP="00F84A39">
      <w:pPr>
        <w:pStyle w:val="WWList1"/>
        <w:rPr>
          <w:lang w:val="en-US"/>
        </w:rPr>
      </w:pPr>
      <w:r w:rsidRPr="00F84A39">
        <w:t xml:space="preserve">foreign” </w:t>
      </w:r>
      <w:r w:rsidRPr="00F84A39">
        <w:rPr>
          <w:i/>
        </w:rPr>
        <w:t>Oxford Dictionaries</w:t>
      </w:r>
      <w:r w:rsidRPr="00F84A39">
        <w:t xml:space="preserve"> available at https://en.oxforddictionaries.com/definition/foreign (last accessed: 22 November 2017)</w:t>
      </w:r>
    </w:p>
    <w:p w:rsidR="0040571F" w:rsidRPr="00F84A39" w:rsidRDefault="0040571F" w:rsidP="00F84A39">
      <w:pPr>
        <w:pStyle w:val="WWList1"/>
      </w:pPr>
      <w:r w:rsidRPr="00F84A39">
        <w:t>Shannonbrooke Murphy “Unique in international human rights law: Article 20(2) and the right to resist in the African Charter on Human and Peoples' Rights” 2 AHRLJ 465 (2001)</w:t>
      </w:r>
    </w:p>
    <w:p w:rsidR="0040571F" w:rsidRPr="00F84A39" w:rsidRDefault="0040571F" w:rsidP="00F84A39">
      <w:pPr>
        <w:pStyle w:val="WWList1"/>
      </w:pPr>
      <w:r w:rsidRPr="00F84A39">
        <w:rPr>
          <w:i/>
          <w:iCs/>
          <w:bdr w:val="none" w:sz="0" w:space="0" w:color="auto" w:frame="1"/>
          <w:shd w:val="clear" w:color="auto" w:fill="FFFFFF"/>
        </w:rPr>
        <w:t>Katangese Peoples' Congress v Zaire </w:t>
      </w:r>
      <w:r w:rsidRPr="00F84A39">
        <w:rPr>
          <w:shd w:val="clear" w:color="auto" w:fill="FFFFFF"/>
        </w:rPr>
        <w:t>(Decision) ACHPR No. 75/92 (22 March 1995)</w:t>
      </w:r>
    </w:p>
    <w:p w:rsidR="0040571F" w:rsidRPr="00F84A39" w:rsidRDefault="0040571F" w:rsidP="00F84A39">
      <w:pPr>
        <w:pStyle w:val="WWList1"/>
      </w:pPr>
      <w:r w:rsidRPr="00F84A39">
        <w:rPr>
          <w:i/>
          <w:iCs/>
          <w:bdr w:val="none" w:sz="0" w:space="0" w:color="auto" w:frame="1"/>
          <w:shd w:val="clear" w:color="auto" w:fill="FFFFFF"/>
        </w:rPr>
        <w:t>Jawara v The Gambia </w:t>
      </w:r>
      <w:r w:rsidRPr="00F84A39">
        <w:rPr>
          <w:shd w:val="clear" w:color="auto" w:fill="FFFFFF"/>
        </w:rPr>
        <w:t>(Decision) ACHPR No. 147/95 and 149/96 (11 May 2000)</w:t>
      </w:r>
    </w:p>
    <w:p w:rsidR="0040571F" w:rsidRPr="00F84A39" w:rsidRDefault="0040571F" w:rsidP="00F84A39">
      <w:pPr>
        <w:pStyle w:val="WWList1"/>
      </w:pPr>
      <w:r w:rsidRPr="00F84A39">
        <w:t>Protocol additional to the Geneva Conventions of 12 August 1949, and relating to the protection of victims of non-international armed conflicts (Protocol II), 1977</w:t>
      </w:r>
    </w:p>
    <w:p w:rsidR="0040571F" w:rsidRPr="00F84A39" w:rsidRDefault="0040571F" w:rsidP="00F84A39">
      <w:pPr>
        <w:pStyle w:val="WWList1"/>
      </w:pPr>
      <w:r w:rsidRPr="00F84A39">
        <w:t xml:space="preserve">“Treaties, States Parties and Commentaries Protocol Additional to the Geneva Conventions of 12 August 1949, and relating to the Protection of Victims of Non-International Armed Conflicts (Protocol II), 8 June 1977” </w:t>
      </w:r>
      <w:r w:rsidRPr="00F84A39">
        <w:rPr>
          <w:i/>
        </w:rPr>
        <w:t xml:space="preserve">International Committee of the Red Cross </w:t>
      </w:r>
      <w:r w:rsidRPr="00F84A39">
        <w:t>available at https://ihl-databases.icrc.org/applic/ihl/ihl.nsf/States.xsp?xp_viewStates=XPages_NORMStatesParties&amp;xp_treatySelected=475#panelRatification</w:t>
      </w:r>
      <w:r w:rsidRPr="00F84A39">
        <w:rPr>
          <w:lang w:val="en-US"/>
        </w:rPr>
        <w:t xml:space="preserve"> (last accessed: 22 November 2017)</w:t>
      </w:r>
    </w:p>
    <w:p w:rsidR="0040571F" w:rsidRPr="00F84A39" w:rsidRDefault="0040571F" w:rsidP="00F84A39">
      <w:pPr>
        <w:pStyle w:val="WWList1"/>
        <w:rPr>
          <w:lang w:val="en-US"/>
        </w:rPr>
      </w:pPr>
      <w:r w:rsidRPr="00F84A39">
        <w:t xml:space="preserve">“Rule 1. The Principle of Distinction between Civilians and Combatants” </w:t>
      </w:r>
      <w:r w:rsidRPr="00F84A39">
        <w:rPr>
          <w:i/>
        </w:rPr>
        <w:t>International Committee for the Red Cross</w:t>
      </w:r>
      <w:r w:rsidRPr="00F84A39">
        <w:t xml:space="preserve"> available at https://ihl-databases.icrc.org/customary-ihl/eng/docs/v1_cha_chapter1_rule1 (last accessed: 22 November 2017)</w:t>
      </w:r>
    </w:p>
    <w:p w:rsidR="0040571F" w:rsidRPr="00F84A39" w:rsidRDefault="0040571F" w:rsidP="00F84A39">
      <w:pPr>
        <w:pStyle w:val="WWList1"/>
      </w:pPr>
      <w:r w:rsidRPr="00F84A39">
        <w:t>Protocol on Prohibitions or Restrictions on the Use of Mines, Booby-Traps and Other Devices as amended on 3 May 1996 (Protocol II, as amended on 3 May 1996) annexed to the Convention on Prohibitions or Restrictions on the Use of Certain Conventional Weapons which may be deemed to be Excessively Injurious or to have Indiscriminate Effects (Amended Protocol II to the Convention on Certain Weapons)</w:t>
      </w:r>
    </w:p>
    <w:p w:rsidR="0040571F" w:rsidRPr="00F84A39" w:rsidRDefault="0040571F" w:rsidP="00F84A39">
      <w:pPr>
        <w:pStyle w:val="WWList1"/>
      </w:pPr>
      <w:r w:rsidRPr="00F84A39">
        <w:rPr>
          <w:color w:val="222222"/>
          <w:shd w:val="clear" w:color="auto" w:fill="FFFFFF"/>
        </w:rPr>
        <w:t xml:space="preserve">Protocol III on Prohibitions or Restrictions on the Use of Incendiary Weapons </w:t>
      </w:r>
      <w:r w:rsidRPr="00F84A39">
        <w:t>Convention on Prohibitions or Restrictions on the Use of Certain Conventional Weapons which may be deemed to be Excessively Injurious or to have Indiscriminate Effects</w:t>
      </w:r>
      <w:r w:rsidRPr="00F84A39">
        <w:rPr>
          <w:color w:val="222222"/>
          <w:shd w:val="clear" w:color="auto" w:fill="FFFFFF"/>
        </w:rPr>
        <w:t xml:space="preserve"> (</w:t>
      </w:r>
      <w:r w:rsidRPr="00F84A39">
        <w:t>Protocol III to the Convention on Certain Weapons)</w:t>
      </w:r>
    </w:p>
    <w:p w:rsidR="0040571F" w:rsidRPr="00F84A39" w:rsidRDefault="0040571F" w:rsidP="00F84A39">
      <w:pPr>
        <w:pStyle w:val="WWList1"/>
      </w:pPr>
      <w:r w:rsidRPr="00F84A39">
        <w:t>Convention on the Prohibition of the Use, Stockpiling, Production and Transfer of Anti-Personnel Mines and on their Destruction (the Ottawa Convention)</w:t>
      </w:r>
    </w:p>
    <w:p w:rsidR="0040571F" w:rsidRPr="00F84A39" w:rsidRDefault="0040571F" w:rsidP="00F84A39">
      <w:pPr>
        <w:pStyle w:val="WWList1"/>
      </w:pPr>
      <w:r w:rsidRPr="00F84A39">
        <w:t>The Rome Statute of the International Criminal Court, 1998</w:t>
      </w:r>
    </w:p>
    <w:p w:rsidR="0040571F" w:rsidRPr="00F84A39" w:rsidRDefault="0040571F" w:rsidP="00F84A39">
      <w:pPr>
        <w:pStyle w:val="WWList1"/>
      </w:pPr>
      <w:r w:rsidRPr="00F84A39">
        <w:rPr>
          <w:i/>
        </w:rPr>
        <w:t>Legality of the Threat or Use of Nuclear Weapons</w:t>
      </w:r>
      <w:r w:rsidRPr="00F84A39">
        <w:t xml:space="preserve"> (Advisory Opinion) ICJ 1996 (8 July 1996)</w:t>
      </w:r>
    </w:p>
    <w:p w:rsidR="0040571F" w:rsidRPr="00F84A39" w:rsidRDefault="0040571F" w:rsidP="00F84A39">
      <w:pPr>
        <w:pStyle w:val="WWList1"/>
      </w:pPr>
      <w:r w:rsidRPr="00F84A39">
        <w:rPr>
          <w:i/>
        </w:rPr>
        <w:t xml:space="preserve">Prosecutor v Dusko Tadic </w:t>
      </w:r>
      <w:r w:rsidRPr="00F84A39">
        <w:t>(Decision on the Defence Motion for Interlocutory Appeal on Jurisdiction) IT-94-1 (2 October 1995)</w:t>
      </w:r>
    </w:p>
    <w:p w:rsidR="0040571F" w:rsidRPr="00F84A39" w:rsidRDefault="0040571F" w:rsidP="00F84A39">
      <w:pPr>
        <w:pStyle w:val="WWList1"/>
      </w:pPr>
      <w:r w:rsidRPr="00F84A39">
        <w:rPr>
          <w:i/>
        </w:rPr>
        <w:t>Prosecutor v Martić</w:t>
      </w:r>
      <w:r w:rsidRPr="00F84A39">
        <w:t xml:space="preserve"> (Review of the Indictment) IT-95-11-1 (March 8, 1996)</w:t>
      </w:r>
    </w:p>
    <w:p w:rsidR="0040571F" w:rsidRPr="00F84A39" w:rsidRDefault="0040571F" w:rsidP="00F84A39">
      <w:pPr>
        <w:pStyle w:val="WWList1"/>
      </w:pPr>
      <w:r w:rsidRPr="00F84A39">
        <w:rPr>
          <w:i/>
        </w:rPr>
        <w:t>Prosecutor v Kupreškić</w:t>
      </w:r>
      <w:r w:rsidRPr="00F84A39">
        <w:t xml:space="preserve"> (Judgment) IT-95-16-T (14 January 2000)</w:t>
      </w:r>
    </w:p>
    <w:p w:rsidR="0040571F" w:rsidRPr="00F84A39" w:rsidRDefault="0040571F" w:rsidP="00F84A39">
      <w:pPr>
        <w:pStyle w:val="WWList1"/>
      </w:pPr>
      <w:r w:rsidRPr="00F84A39">
        <w:rPr>
          <w:i/>
        </w:rPr>
        <w:t xml:space="preserve">Juan Carlos Abella v Agentina </w:t>
      </w:r>
      <w:r w:rsidRPr="00F84A39">
        <w:t>Inter-American Commission on Human Rights Case No. 11.137 (18 November 1997)</w:t>
      </w:r>
    </w:p>
    <w:p w:rsidR="0040571F" w:rsidRPr="00F84A39" w:rsidRDefault="0040571F" w:rsidP="00F84A39">
      <w:pPr>
        <w:pStyle w:val="WWList1"/>
      </w:pPr>
      <w:r w:rsidRPr="00F84A39">
        <w:t xml:space="preserve">“Rule 12. Definition of Indiscriminate Attacks” </w:t>
      </w:r>
      <w:r w:rsidRPr="00F84A39">
        <w:rPr>
          <w:i/>
        </w:rPr>
        <w:t xml:space="preserve">International Committee of the Red Cross </w:t>
      </w:r>
      <w:r w:rsidRPr="00F84A39">
        <w:t>available at https://ihl-databases.icrc.org/customary-ihl/eng/docs/v1_rul_rule12 (last accessed: 22 November 2017)</w:t>
      </w:r>
    </w:p>
    <w:p w:rsidR="0040571F" w:rsidRPr="00F84A39" w:rsidRDefault="0040571F" w:rsidP="00F84A39">
      <w:pPr>
        <w:pStyle w:val="WWList1"/>
      </w:pPr>
      <w:r w:rsidRPr="00F84A39">
        <w:t xml:space="preserve">“Rule 14. Proportionality in Armed Attack” </w:t>
      </w:r>
      <w:r w:rsidRPr="00F84A39">
        <w:rPr>
          <w:i/>
        </w:rPr>
        <w:t xml:space="preserve">International Committee of the Red Cross </w:t>
      </w:r>
      <w:r w:rsidRPr="00F84A39">
        <w:t>available at https://ihl-databases.icrc.org/customary-ihl/eng/docs/v1_cha_chapter4_rule14 (last accessed: 22 November 2017)</w:t>
      </w:r>
    </w:p>
    <w:p w:rsidR="0040571F" w:rsidRPr="00F84A39" w:rsidRDefault="0040571F" w:rsidP="00F84A39">
      <w:pPr>
        <w:pStyle w:val="WWList1"/>
      </w:pPr>
      <w:r w:rsidRPr="00F84A39">
        <w:t>Inter-American Commission on Human Rights Third Report on Human Rights in Colombia OEA/Ser.L/V/II.102 (26 February 1999)</w:t>
      </w:r>
    </w:p>
    <w:p w:rsidR="0040571F" w:rsidRPr="00F84A39" w:rsidRDefault="0040571F" w:rsidP="00F84A39">
      <w:pPr>
        <w:pStyle w:val="WWList1"/>
        <w:rPr>
          <w:rFonts w:cs="Arial"/>
        </w:rPr>
      </w:pPr>
      <w:r w:rsidRPr="00F84A39">
        <w:rPr>
          <w:rFonts w:cs="Arial"/>
          <w:i/>
        </w:rPr>
        <w:t>S v. Okah</w:t>
      </w:r>
      <w:r w:rsidRPr="00F84A39">
        <w:rPr>
          <w:rFonts w:cs="Arial"/>
        </w:rPr>
        <w:t xml:space="preserve"> 2015 (2) SACR 561 (GJ)</w:t>
      </w:r>
    </w:p>
    <w:p w:rsidR="0040571F" w:rsidRPr="00F84A39" w:rsidRDefault="0040571F" w:rsidP="00F84A39">
      <w:pPr>
        <w:pStyle w:val="WWList1"/>
        <w:rPr>
          <w:rFonts w:cs="Arial"/>
        </w:rPr>
      </w:pPr>
      <w:r w:rsidRPr="00F84A39">
        <w:rPr>
          <w:rFonts w:cs="Arial"/>
          <w:i/>
        </w:rPr>
        <w:t xml:space="preserve">Okah v. </w:t>
      </w:r>
      <w:r w:rsidRPr="00F84A39">
        <w:rPr>
          <w:rFonts w:cs="Arial"/>
        </w:rPr>
        <w:t>S (19/2014) [2016] SASCA 155 (3 October 2016)</w:t>
      </w:r>
    </w:p>
    <w:p w:rsidR="000F2DB7" w:rsidRPr="00F84A39" w:rsidRDefault="0040571F" w:rsidP="00F84A39">
      <w:pPr>
        <w:pStyle w:val="WWList1"/>
        <w:rPr>
          <w:rFonts w:cs="Arial"/>
        </w:rPr>
      </w:pPr>
      <w:r w:rsidRPr="00F84A39">
        <w:rPr>
          <w:rFonts w:cs="Arial"/>
          <w:i/>
        </w:rPr>
        <w:t xml:space="preserve">S v Bogaards </w:t>
      </w:r>
      <w:r w:rsidRPr="00F84A39">
        <w:rPr>
          <w:rFonts w:cs="Arial"/>
        </w:rPr>
        <w:t>(864/2010) [2011] ZASCA 196</w:t>
      </w:r>
    </w:p>
    <w:p w:rsidR="00DE636C" w:rsidRPr="00D76D5C" w:rsidRDefault="00DE636C" w:rsidP="0039249C">
      <w:pPr>
        <w:spacing w:after="240"/>
        <w:rPr>
          <w:rFonts w:cs="Arial"/>
        </w:rPr>
      </w:pPr>
    </w:p>
    <w:sectPr w:rsidR="00DE636C" w:rsidRPr="00D76D5C" w:rsidSect="00476F3A">
      <w:headerReference w:type="default" r:id="rId8"/>
      <w:headerReference w:type="first" r:id="rId9"/>
      <w:endnotePr>
        <w:numFmt w:val="decimal"/>
      </w:endnotePr>
      <w:pgSz w:w="11906" w:h="16838" w:code="9"/>
      <w:pgMar w:top="1418" w:right="1701" w:bottom="1418" w:left="170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A1" w:rsidRDefault="000334A1" w:rsidP="00787418">
      <w:pPr>
        <w:spacing w:before="60" w:after="60"/>
      </w:pPr>
      <w:r>
        <w:separator/>
      </w:r>
    </w:p>
  </w:endnote>
  <w:endnote w:type="continuationSeparator" w:id="0">
    <w:p w:rsidR="000334A1" w:rsidRDefault="000334A1" w:rsidP="00787418">
      <w:pPr>
        <w:spacing w:before="60" w:after="60"/>
      </w:pPr>
      <w:r>
        <w:continuationSeparator/>
      </w:r>
    </w:p>
  </w:endnote>
  <w:endnote w:type="continuationNotice" w:id="1">
    <w:p w:rsidR="000334A1" w:rsidRDefault="000334A1" w:rsidP="00787418">
      <w:pPr>
        <w:spacing w:before="60"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A1" w:rsidRDefault="000334A1" w:rsidP="009E64ED">
      <w:pPr>
        <w:spacing w:before="60" w:after="60" w:line="264" w:lineRule="auto"/>
      </w:pPr>
      <w:r>
        <w:separator/>
      </w:r>
    </w:p>
  </w:footnote>
  <w:footnote w:type="continuationSeparator" w:id="0">
    <w:p w:rsidR="000334A1" w:rsidRDefault="000334A1" w:rsidP="00A85947">
      <w:pPr>
        <w:spacing w:before="60" w:after="60" w:line="264" w:lineRule="auto"/>
      </w:pPr>
      <w:r>
        <w:continuationSeparator/>
      </w:r>
    </w:p>
  </w:footnote>
  <w:footnote w:type="continuationNotice" w:id="1">
    <w:p w:rsidR="000334A1" w:rsidRDefault="000334A1" w:rsidP="00A85947">
      <w:pPr>
        <w:spacing w:before="60" w:after="60" w:line="264" w:lineRule="auto"/>
      </w:pPr>
    </w:p>
  </w:footnote>
  <w:footnote w:id="2">
    <w:p w:rsidR="00BC5A8B" w:rsidRPr="00AA04D2" w:rsidRDefault="00BC5A8B" w:rsidP="00296A54">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 xml:space="preserve">For a comprehensive analysis of these principles See </w:t>
      </w:r>
      <w:r w:rsidRPr="00AA04D2">
        <w:rPr>
          <w:rFonts w:cs="Arial"/>
          <w:i/>
          <w:lang w:val="en-US"/>
        </w:rPr>
        <w:t>Bouyahia Maher Ben Abdelaziz</w:t>
      </w:r>
      <w:r w:rsidRPr="00AA04D2">
        <w:rPr>
          <w:rFonts w:cs="Arial"/>
          <w:lang w:val="en-US"/>
        </w:rPr>
        <w:t xml:space="preserve"> et al, Cass. Crim. Sez. 1, 17 January 2007, n. 1072, para 2.1 (unofficial translation). Can also be accessed online at…..; See also Lucia Aleni, </w:t>
      </w:r>
      <w:r>
        <w:rPr>
          <w:rFonts w:cs="Arial"/>
          <w:lang w:val="en-US"/>
        </w:rPr>
        <w:t>"</w:t>
      </w:r>
      <w:r w:rsidRPr="00AA04D2">
        <w:rPr>
          <w:rFonts w:cs="Arial"/>
          <w:lang w:val="en-US"/>
        </w:rPr>
        <w:t>Distinguishing Terrorism from Wars of National Liberation in the Light of International Law</w:t>
      </w:r>
      <w:r>
        <w:rPr>
          <w:rFonts w:cs="Arial"/>
          <w:lang w:val="en-US"/>
        </w:rPr>
        <w:t>"</w:t>
      </w:r>
      <w:r w:rsidRPr="00AA04D2">
        <w:rPr>
          <w:rFonts w:cs="Arial"/>
          <w:lang w:val="en-US"/>
        </w:rPr>
        <w:t xml:space="preserve"> (2008) (6) J. Int’l Crim. Just. 525, 528; See also Antonio Cassese, </w:t>
      </w:r>
      <w:r>
        <w:rPr>
          <w:rFonts w:cs="Arial"/>
          <w:lang w:val="en-US"/>
        </w:rPr>
        <w:t>"</w:t>
      </w:r>
      <w:r w:rsidRPr="00AA04D2">
        <w:rPr>
          <w:rFonts w:cs="Arial"/>
          <w:lang w:val="en-US"/>
        </w:rPr>
        <w:t>The Multifaceted Criminal Notion of Terrorism in International Law</w:t>
      </w:r>
      <w:r>
        <w:rPr>
          <w:rFonts w:cs="Arial"/>
          <w:lang w:val="en-US"/>
        </w:rPr>
        <w:t>"</w:t>
      </w:r>
      <w:r w:rsidRPr="00AA04D2">
        <w:rPr>
          <w:rFonts w:cs="Arial"/>
          <w:lang w:val="en-US"/>
        </w:rPr>
        <w:t>, (4) (5) J. Int’l Crim. Just. 933-958.</w:t>
      </w:r>
    </w:p>
  </w:footnote>
  <w:footnote w:id="3">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See</w:t>
      </w:r>
      <w:r w:rsidRPr="00AA04D2">
        <w:rPr>
          <w:rFonts w:cs="Arial"/>
        </w:rPr>
        <w:t xml:space="preserve"> Antonio</w:t>
      </w:r>
      <w:r w:rsidRPr="00AA04D2">
        <w:rPr>
          <w:rFonts w:cs="Arial"/>
          <w:lang w:val="en-US"/>
        </w:rPr>
        <w:t xml:space="preserve"> Cassese </w:t>
      </w:r>
      <w:r>
        <w:rPr>
          <w:rFonts w:cs="Arial"/>
          <w:lang w:val="en-US"/>
        </w:rPr>
        <w:t>"</w:t>
      </w:r>
      <w:r w:rsidRPr="00AA04D2">
        <w:rPr>
          <w:rFonts w:cs="Arial"/>
          <w:lang w:val="en-US"/>
        </w:rPr>
        <w:t>The Multifaceted Criminal Notion of Terrorism in International Law</w:t>
      </w:r>
      <w:r>
        <w:rPr>
          <w:rFonts w:cs="Arial"/>
          <w:lang w:val="en-US"/>
        </w:rPr>
        <w:t>"</w:t>
      </w:r>
      <w:r w:rsidRPr="00AA04D2">
        <w:rPr>
          <w:rFonts w:cs="Arial"/>
          <w:lang w:val="en-US"/>
        </w:rPr>
        <w:t xml:space="preserve"> (2006) (4) (5</w:t>
      </w:r>
      <w:r w:rsidRPr="00AA04D2">
        <w:rPr>
          <w:rFonts w:cs="Arial"/>
          <w:i/>
          <w:lang w:val="en-US"/>
        </w:rPr>
        <w:t xml:space="preserve">) </w:t>
      </w:r>
      <w:r w:rsidRPr="00AA04D2">
        <w:rPr>
          <w:rFonts w:cs="Arial"/>
          <w:lang w:val="en-US"/>
        </w:rPr>
        <w:t xml:space="preserve">J. Int’l Crim. J. 933-958, </w:t>
      </w:r>
      <w:r w:rsidRPr="00AA04D2">
        <w:rPr>
          <w:rFonts w:cs="Arial"/>
        </w:rPr>
        <w:t>see the Abstract.</w:t>
      </w:r>
    </w:p>
  </w:footnote>
  <w:footnote w:id="4">
    <w:p w:rsidR="00BC5A8B" w:rsidRPr="00710F11" w:rsidRDefault="00BC5A8B" w:rsidP="00710F11">
      <w:pPr>
        <w:pStyle w:val="FootnoteText"/>
        <w:rPr>
          <w:lang w:val="en-US"/>
        </w:rPr>
      </w:pPr>
      <w:r>
        <w:rPr>
          <w:rStyle w:val="FootnoteReference"/>
        </w:rPr>
        <w:footnoteRef/>
      </w:r>
      <w:r>
        <w:t xml:space="preserve"> </w:t>
      </w:r>
      <w:r>
        <w:rPr>
          <w:lang w:val="en-US"/>
        </w:rPr>
        <w:tab/>
      </w:r>
      <w:r w:rsidRPr="00710F11">
        <w:rPr>
          <w:b/>
          <w:lang w:val="en-US"/>
        </w:rPr>
        <w:t xml:space="preserve">Natal Joint Municipal Pension Fund </w:t>
      </w:r>
      <w:r>
        <w:rPr>
          <w:b/>
          <w:lang w:val="en-US"/>
        </w:rPr>
        <w:t>v</w:t>
      </w:r>
      <w:r w:rsidRPr="00710F11">
        <w:rPr>
          <w:b/>
          <w:lang w:val="en-US"/>
        </w:rPr>
        <w:t xml:space="preserve"> Endumeni Municipality</w:t>
      </w:r>
      <w:r w:rsidRPr="00A376A1">
        <w:rPr>
          <w:lang w:val="en-US"/>
        </w:rPr>
        <w:t xml:space="preserve"> 2012 (4) SA 593 (SCA)</w:t>
      </w:r>
      <w:r>
        <w:rPr>
          <w:lang w:val="en-US"/>
        </w:rPr>
        <w:t>.</w:t>
      </w:r>
    </w:p>
  </w:footnote>
  <w:footnote w:id="5">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Preamble to the Act.</w:t>
      </w:r>
    </w:p>
  </w:footnote>
  <w:footnote w:id="6">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Ibid.</w:t>
      </w:r>
    </w:p>
  </w:footnote>
  <w:footnote w:id="7">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i/>
        </w:rPr>
        <w:t>Interlocutory Decision on the applicable Law: Terrorism, Conspiracy, Homicide, Perpetration, Cumulative Charging</w:t>
      </w:r>
      <w:r w:rsidRPr="00AA04D2">
        <w:rPr>
          <w:rFonts w:cs="Arial"/>
        </w:rPr>
        <w:t xml:space="preserve"> case, STL-11-01/I (16 February 2011).</w:t>
      </w:r>
    </w:p>
  </w:footnote>
  <w:footnote w:id="8">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Ibid, para 83</w:t>
      </w:r>
    </w:p>
  </w:footnote>
  <w:footnote w:id="9">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Ibid. para 85</w:t>
      </w:r>
    </w:p>
  </w:footnote>
  <w:footnote w:id="10">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i/>
        </w:rPr>
        <w:t>Interlocutory Decision on the applicable Law: Terrorism, Conspiracy, Homicide, Perpetration, Cumulative Charging</w:t>
      </w:r>
      <w:r w:rsidRPr="00AA04D2">
        <w:rPr>
          <w:rFonts w:cs="Arial"/>
        </w:rPr>
        <w:t xml:space="preserve"> case, STL-11-01/I (16 February 2011) at para 85.</w:t>
      </w:r>
    </w:p>
  </w:footnote>
  <w:footnote w:id="11">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rPr>
        <w:t>Ibid, paras 59, 138, 145 and 147</w:t>
      </w:r>
    </w:p>
  </w:footnote>
  <w:footnote w:id="12">
    <w:p w:rsidR="00BC5A8B" w:rsidRPr="00AA04D2" w:rsidRDefault="00BC5A8B" w:rsidP="00710F11">
      <w:pPr>
        <w:pStyle w:val="FootnoteText"/>
        <w:rPr>
          <w:rFonts w:cs="Arial"/>
          <w:lang w:val="en-US"/>
        </w:rPr>
      </w:pPr>
      <w:r w:rsidRPr="00AA04D2">
        <w:rPr>
          <w:rStyle w:val="FootnoteReference"/>
          <w:rFonts w:cs="Arial"/>
        </w:rPr>
        <w:footnoteRef/>
      </w:r>
      <w:r w:rsidRPr="00AA04D2">
        <w:rPr>
          <w:rFonts w:cs="Arial"/>
        </w:rPr>
        <w:t xml:space="preserve"> </w:t>
      </w:r>
      <w:r>
        <w:rPr>
          <w:rFonts w:cs="Arial"/>
        </w:rPr>
        <w:tab/>
      </w:r>
      <w:r w:rsidRPr="00AA04D2">
        <w:rPr>
          <w:rFonts w:cs="Arial"/>
          <w:lang w:val="en-US"/>
        </w:rPr>
        <w:t xml:space="preserve">[2002] 1 S.C.R.3. </w:t>
      </w:r>
    </w:p>
  </w:footnote>
  <w:footnote w:id="13">
    <w:p w:rsidR="00BC5A8B" w:rsidRPr="00E81F99" w:rsidRDefault="00BC5A8B" w:rsidP="00710F11">
      <w:pPr>
        <w:pStyle w:val="FootnoteText"/>
        <w:rPr>
          <w:rFonts w:cs="Arial"/>
          <w:lang w:val="en-US"/>
        </w:rPr>
      </w:pPr>
      <w:r w:rsidRPr="00E81F99">
        <w:rPr>
          <w:rStyle w:val="FootnoteReference"/>
          <w:rFonts w:cs="Arial"/>
        </w:rPr>
        <w:footnoteRef/>
      </w:r>
      <w:r w:rsidRPr="00E81F99">
        <w:rPr>
          <w:rFonts w:cs="Arial"/>
        </w:rPr>
        <w:t xml:space="preserve"> </w:t>
      </w:r>
      <w:r>
        <w:rPr>
          <w:rFonts w:cs="Arial"/>
        </w:rPr>
        <w:tab/>
      </w:r>
      <w:r w:rsidRPr="00E81F99">
        <w:rPr>
          <w:rFonts w:cs="Arial"/>
          <w:lang w:val="en-US"/>
        </w:rPr>
        <w:t>Ibid. paras 96 and 98.</w:t>
      </w:r>
    </w:p>
  </w:footnote>
  <w:footnote w:id="14">
    <w:p w:rsidR="00BC5A8B" w:rsidRPr="00E81F99" w:rsidRDefault="00BC5A8B" w:rsidP="00710F11">
      <w:pPr>
        <w:pStyle w:val="FootnoteText"/>
        <w:rPr>
          <w:rFonts w:cs="Arial"/>
          <w:lang w:val="en-US"/>
        </w:rPr>
      </w:pPr>
      <w:r w:rsidRPr="00E81F99">
        <w:rPr>
          <w:rStyle w:val="FootnoteReference"/>
          <w:rFonts w:cs="Arial"/>
        </w:rPr>
        <w:footnoteRef/>
      </w:r>
      <w:r w:rsidRPr="00E81F99">
        <w:rPr>
          <w:rFonts w:cs="Arial"/>
        </w:rPr>
        <w:t xml:space="preserve"> </w:t>
      </w:r>
      <w:r>
        <w:rPr>
          <w:rFonts w:cs="Arial"/>
        </w:rPr>
        <w:tab/>
      </w:r>
      <w:r w:rsidRPr="00E81F99">
        <w:rPr>
          <w:rFonts w:cs="Arial"/>
          <w:i/>
        </w:rPr>
        <w:t xml:space="preserve">Bouyahia Maher Ben Abdelaziz et al, </w:t>
      </w:r>
      <w:r w:rsidRPr="00E81F99">
        <w:rPr>
          <w:rFonts w:cs="Arial"/>
        </w:rPr>
        <w:t>Cass. Crim. Sez. 1, 17 January 2007, n. 1072, para 2.1 (unofficial translation).</w:t>
      </w:r>
    </w:p>
  </w:footnote>
  <w:footnote w:id="15">
    <w:p w:rsidR="00BC5A8B" w:rsidRPr="00E81F99" w:rsidRDefault="00BC5A8B" w:rsidP="00710F11">
      <w:pPr>
        <w:pStyle w:val="FootnoteText"/>
        <w:rPr>
          <w:rFonts w:cs="Arial"/>
          <w:lang w:val="en-US"/>
        </w:rPr>
      </w:pPr>
      <w:r w:rsidRPr="00E81F99">
        <w:rPr>
          <w:rStyle w:val="FootnoteReference"/>
          <w:rFonts w:cs="Arial"/>
        </w:rPr>
        <w:footnoteRef/>
      </w:r>
      <w:r w:rsidRPr="00E81F99">
        <w:rPr>
          <w:rFonts w:cs="Arial"/>
        </w:rPr>
        <w:t xml:space="preserve"> </w:t>
      </w:r>
      <w:r>
        <w:rPr>
          <w:rFonts w:cs="Arial"/>
        </w:rPr>
        <w:tab/>
      </w:r>
      <w:r w:rsidRPr="00E81F99">
        <w:rPr>
          <w:rFonts w:cs="Arial"/>
          <w:lang w:val="en-US"/>
        </w:rPr>
        <w:t>See Article 270-</w:t>
      </w:r>
      <w:r w:rsidRPr="00E81F99">
        <w:rPr>
          <w:rFonts w:cs="Arial"/>
          <w:i/>
          <w:lang w:val="en-US"/>
        </w:rPr>
        <w:t xml:space="preserve">bis </w:t>
      </w:r>
      <w:r w:rsidRPr="00E81F99">
        <w:rPr>
          <w:rFonts w:cs="Arial"/>
          <w:lang w:val="en-US"/>
        </w:rPr>
        <w:t>of the Italian Penal Code (amended December 2001).</w:t>
      </w:r>
    </w:p>
  </w:footnote>
  <w:footnote w:id="16">
    <w:p w:rsidR="00BC5A8B" w:rsidRPr="00E81F99" w:rsidRDefault="00BC5A8B" w:rsidP="00710F11">
      <w:pPr>
        <w:pStyle w:val="FootnoteText"/>
        <w:rPr>
          <w:rFonts w:cs="Arial"/>
        </w:rPr>
      </w:pPr>
      <w:r w:rsidRPr="00E81F99">
        <w:rPr>
          <w:rStyle w:val="FootnoteReference"/>
          <w:rFonts w:cs="Arial"/>
        </w:rPr>
        <w:footnoteRef/>
      </w:r>
      <w:r w:rsidRPr="00E81F99">
        <w:rPr>
          <w:rFonts w:cs="Arial"/>
        </w:rPr>
        <w:t xml:space="preserve"> </w:t>
      </w:r>
      <w:r>
        <w:rPr>
          <w:rFonts w:cs="Arial"/>
        </w:rPr>
        <w:tab/>
      </w:r>
      <w:r w:rsidRPr="00E81F99">
        <w:rPr>
          <w:rFonts w:cs="Arial"/>
          <w:i/>
        </w:rPr>
        <w:t>Interlocutory Decision on the applicable Law: Terrorism, Conspiracy, Homicide, Perpetration, Cumulative Charging</w:t>
      </w:r>
      <w:r w:rsidRPr="00E81F99">
        <w:rPr>
          <w:rFonts w:cs="Arial"/>
        </w:rPr>
        <w:t xml:space="preserve"> case, STL-11-01/I (16 February 2011). </w:t>
      </w:r>
    </w:p>
  </w:footnote>
  <w:footnote w:id="17">
    <w:p w:rsidR="00BC5A8B" w:rsidRPr="00855942" w:rsidRDefault="00BC5A8B" w:rsidP="00710F11">
      <w:pPr>
        <w:pStyle w:val="FootnoteText"/>
        <w:rPr>
          <w:rFonts w:cs="Arial"/>
          <w:szCs w:val="18"/>
          <w:lang w:val="en-US"/>
        </w:rPr>
      </w:pPr>
      <w:r w:rsidRPr="00855942">
        <w:rPr>
          <w:rStyle w:val="FootnoteReference"/>
          <w:rFonts w:cs="Arial"/>
          <w:sz w:val="18"/>
          <w:szCs w:val="18"/>
        </w:rPr>
        <w:footnoteRef/>
      </w:r>
      <w:r w:rsidRPr="00855942">
        <w:rPr>
          <w:rFonts w:cs="Arial"/>
          <w:szCs w:val="18"/>
        </w:rPr>
        <w:t xml:space="preserve"> </w:t>
      </w:r>
      <w:r>
        <w:rPr>
          <w:rFonts w:cs="Arial"/>
          <w:szCs w:val="18"/>
        </w:rPr>
        <w:tab/>
      </w:r>
      <w:r w:rsidRPr="00855942">
        <w:rPr>
          <w:rFonts w:cs="Arial"/>
          <w:szCs w:val="18"/>
        </w:rPr>
        <w:t xml:space="preserve">Antonio Cassese "The Multifaceted Criminal Notion of Terrorism in International Law" (2006) (4) (5) </w:t>
      </w:r>
      <w:r w:rsidRPr="00855942">
        <w:rPr>
          <w:rFonts w:cs="Arial"/>
          <w:i/>
          <w:szCs w:val="18"/>
        </w:rPr>
        <w:t>J. Int’l Crim. J. 933-958</w:t>
      </w:r>
      <w:r w:rsidRPr="00855942">
        <w:rPr>
          <w:rFonts w:cs="Arial"/>
          <w:szCs w:val="18"/>
        </w:rPr>
        <w:t>, see the Abstract.</w:t>
      </w:r>
    </w:p>
  </w:footnote>
  <w:footnote w:id="18">
    <w:p w:rsidR="00BC5A8B" w:rsidRPr="00E81F99" w:rsidRDefault="00BC5A8B" w:rsidP="00710F11">
      <w:pPr>
        <w:pStyle w:val="FootnoteText"/>
        <w:rPr>
          <w:rFonts w:cs="Arial"/>
          <w:lang w:val="en-US"/>
        </w:rPr>
      </w:pPr>
      <w:r w:rsidRPr="00E81F99">
        <w:rPr>
          <w:rStyle w:val="FootnoteReference"/>
          <w:rFonts w:cs="Arial"/>
        </w:rPr>
        <w:footnoteRef/>
      </w:r>
      <w:r w:rsidRPr="00E81F99">
        <w:rPr>
          <w:rFonts w:cs="Arial"/>
        </w:rPr>
        <w:t xml:space="preserve"> </w:t>
      </w:r>
      <w:r>
        <w:rPr>
          <w:rFonts w:cs="Arial"/>
        </w:rPr>
        <w:tab/>
        <w:t>"</w:t>
      </w:r>
      <w:r w:rsidRPr="00E81F99">
        <w:rPr>
          <w:rFonts w:cs="Arial"/>
        </w:rPr>
        <w:t>The applicability of IHL to terrorism and counterterrorism</w:t>
      </w:r>
      <w:r>
        <w:rPr>
          <w:rFonts w:cs="Arial"/>
        </w:rPr>
        <w:t>"</w:t>
      </w:r>
      <w:r w:rsidRPr="00E81F99">
        <w:rPr>
          <w:rFonts w:cs="Arial"/>
        </w:rPr>
        <w:t xml:space="preserve"> </w:t>
      </w:r>
      <w:r w:rsidRPr="00E81F99">
        <w:rPr>
          <w:rFonts w:cs="Arial"/>
          <w:i/>
        </w:rPr>
        <w:t xml:space="preserve">International Committee of the Red </w:t>
      </w:r>
      <w:r w:rsidRPr="00E81F99">
        <w:rPr>
          <w:rFonts w:cs="Arial"/>
        </w:rPr>
        <w:t xml:space="preserve">Cross (1 October 2015) available </w:t>
      </w:r>
      <w:hyperlink r:id="rId1" w:history="1">
        <w:r w:rsidRPr="00E81F99">
          <w:rPr>
            <w:rStyle w:val="Hyperlink"/>
            <w:rFonts w:cs="Arial"/>
          </w:rPr>
          <w:t>https://www.icrc.org/en/document/applicability-ihl-terrorism-and-counterterrorism</w:t>
        </w:r>
      </w:hyperlink>
      <w:r w:rsidRPr="00E81F99">
        <w:rPr>
          <w:rFonts w:cs="Arial"/>
          <w:lang w:val="en-US"/>
        </w:rPr>
        <w:t xml:space="preserve">, </w:t>
      </w:r>
      <w:r w:rsidRPr="00E81F99">
        <w:rPr>
          <w:rFonts w:cs="Arial"/>
        </w:rPr>
        <w:t xml:space="preserve">(last accessed: 22 November 2017). </w:t>
      </w:r>
    </w:p>
  </w:footnote>
  <w:footnote w:id="19">
    <w:p w:rsidR="00BC5A8B" w:rsidRPr="00E81F99" w:rsidRDefault="00BC5A8B" w:rsidP="00710F11">
      <w:pPr>
        <w:pStyle w:val="FootnoteText"/>
        <w:rPr>
          <w:rFonts w:cs="Arial"/>
          <w:lang w:val="en-US"/>
        </w:rPr>
      </w:pPr>
      <w:r w:rsidRPr="00E81F99">
        <w:rPr>
          <w:rStyle w:val="FootnoteReference"/>
          <w:rFonts w:cs="Arial"/>
        </w:rPr>
        <w:footnoteRef/>
      </w:r>
      <w:r w:rsidRPr="00E81F99">
        <w:rPr>
          <w:rFonts w:cs="Arial"/>
        </w:rPr>
        <w:t xml:space="preserve"> </w:t>
      </w:r>
      <w:r>
        <w:rPr>
          <w:rFonts w:cs="Arial"/>
        </w:rPr>
        <w:tab/>
        <w:t>"</w:t>
      </w:r>
      <w:r w:rsidRPr="00E81F99">
        <w:rPr>
          <w:rFonts w:cs="Arial"/>
        </w:rPr>
        <w:t>The applicability of IHL to terrorism and counterterrorism</w:t>
      </w:r>
      <w:r>
        <w:rPr>
          <w:rFonts w:cs="Arial"/>
        </w:rPr>
        <w:t>"</w:t>
      </w:r>
      <w:r w:rsidRPr="00E81F99">
        <w:rPr>
          <w:rFonts w:cs="Arial"/>
        </w:rPr>
        <w:t xml:space="preserve"> </w:t>
      </w:r>
      <w:r w:rsidRPr="00E81F99">
        <w:rPr>
          <w:rFonts w:cs="Arial"/>
          <w:i/>
        </w:rPr>
        <w:t xml:space="preserve">International Committee of the Red </w:t>
      </w:r>
      <w:r w:rsidRPr="00E81F99">
        <w:rPr>
          <w:rFonts w:cs="Arial"/>
        </w:rPr>
        <w:t xml:space="preserve">Cross (1 October 2015) available </w:t>
      </w:r>
      <w:hyperlink r:id="rId2" w:history="1">
        <w:r w:rsidRPr="00E81F99">
          <w:rPr>
            <w:rStyle w:val="Hyperlink"/>
            <w:rFonts w:cs="Arial"/>
          </w:rPr>
          <w:t>https://www.icrc.org/en/document/applicability-ihl-terrorism-and-counterterrorism</w:t>
        </w:r>
      </w:hyperlink>
      <w:r w:rsidRPr="00E81F99">
        <w:rPr>
          <w:rFonts w:cs="Arial"/>
          <w:lang w:val="en-US"/>
        </w:rPr>
        <w:t xml:space="preserve">, </w:t>
      </w:r>
      <w:r w:rsidRPr="00E81F99">
        <w:rPr>
          <w:rFonts w:cs="Arial"/>
        </w:rPr>
        <w:t xml:space="preserve">(last accessed: 22 November 2017). </w:t>
      </w:r>
    </w:p>
  </w:footnote>
  <w:footnote w:id="20">
    <w:p w:rsidR="00BC5A8B" w:rsidRPr="00855942" w:rsidRDefault="00BC5A8B" w:rsidP="00710F11">
      <w:pPr>
        <w:pStyle w:val="FootnoteText"/>
        <w:rPr>
          <w:rFonts w:cs="Arial"/>
          <w:szCs w:val="18"/>
          <w:lang w:val="en-US"/>
        </w:rPr>
      </w:pPr>
      <w:r w:rsidRPr="00855942">
        <w:rPr>
          <w:rStyle w:val="FootnoteReference"/>
          <w:rFonts w:cs="Arial"/>
          <w:sz w:val="18"/>
          <w:szCs w:val="18"/>
        </w:rPr>
        <w:footnoteRef/>
      </w:r>
      <w:r w:rsidRPr="00855942">
        <w:rPr>
          <w:rFonts w:cs="Arial"/>
          <w:szCs w:val="18"/>
        </w:rPr>
        <w:t xml:space="preserve"> </w:t>
      </w:r>
      <w:r>
        <w:rPr>
          <w:rFonts w:cs="Arial"/>
          <w:szCs w:val="18"/>
        </w:rPr>
        <w:tab/>
      </w:r>
      <w:r w:rsidRPr="00855942">
        <w:rPr>
          <w:rFonts w:cs="Arial"/>
          <w:szCs w:val="18"/>
          <w:lang w:val="en-US"/>
        </w:rPr>
        <w:t xml:space="preserve">Preamble of the </w:t>
      </w:r>
      <w:r w:rsidRPr="00855942">
        <w:rPr>
          <w:rFonts w:cs="Arial"/>
          <w:szCs w:val="18"/>
        </w:rPr>
        <w:t>Constitution of the Republic of South Africa, 1996.</w:t>
      </w:r>
      <w:r w:rsidRPr="00855942">
        <w:rPr>
          <w:rFonts w:cs="Arial"/>
          <w:szCs w:val="18"/>
          <w:lang w:val="en-US"/>
        </w:rPr>
        <w:t xml:space="preserve"> </w:t>
      </w:r>
    </w:p>
  </w:footnote>
  <w:footnote w:id="21">
    <w:p w:rsidR="00BC5A8B" w:rsidRPr="00710F11" w:rsidRDefault="00BC5A8B" w:rsidP="00710F11">
      <w:pPr>
        <w:pStyle w:val="FootnoteText"/>
        <w:rPr>
          <w:lang w:val="en-US"/>
        </w:rPr>
      </w:pPr>
      <w:r>
        <w:rPr>
          <w:rStyle w:val="FootnoteReference"/>
        </w:rPr>
        <w:footnoteRef/>
      </w:r>
      <w:r>
        <w:t xml:space="preserve"> </w:t>
      </w:r>
      <w:r>
        <w:rPr>
          <w:lang w:val="en-US"/>
        </w:rPr>
        <w:tab/>
        <w:t xml:space="preserve">See Section 7(2) of the Constitution. </w:t>
      </w:r>
    </w:p>
  </w:footnote>
  <w:footnote w:id="22">
    <w:p w:rsidR="00BC5A8B" w:rsidRPr="00855942" w:rsidRDefault="00BC5A8B" w:rsidP="00710F11">
      <w:pPr>
        <w:pStyle w:val="FootnoteText"/>
        <w:rPr>
          <w:rFonts w:cs="Arial"/>
          <w:szCs w:val="18"/>
          <w:lang w:val="en-US"/>
        </w:rPr>
      </w:pPr>
      <w:r w:rsidRPr="00855942">
        <w:rPr>
          <w:rStyle w:val="FootnoteReference"/>
          <w:rFonts w:cs="Arial"/>
          <w:sz w:val="18"/>
          <w:szCs w:val="18"/>
        </w:rPr>
        <w:footnoteRef/>
      </w:r>
      <w:r w:rsidRPr="00855942">
        <w:rPr>
          <w:rFonts w:cs="Arial"/>
          <w:szCs w:val="18"/>
        </w:rPr>
        <w:t xml:space="preserve"> </w:t>
      </w:r>
      <w:r>
        <w:rPr>
          <w:rFonts w:cs="Arial"/>
          <w:szCs w:val="18"/>
        </w:rPr>
        <w:tab/>
      </w:r>
      <w:r w:rsidRPr="00855942">
        <w:rPr>
          <w:rFonts w:cs="Arial"/>
          <w:szCs w:val="18"/>
          <w:lang w:val="en-US"/>
        </w:rPr>
        <w:t>See Sections 8,</w:t>
      </w:r>
      <w:r>
        <w:rPr>
          <w:rFonts w:cs="Arial"/>
          <w:szCs w:val="18"/>
          <w:lang w:val="en-US"/>
        </w:rPr>
        <w:t xml:space="preserve"> 39, 231,</w:t>
      </w:r>
      <w:r w:rsidRPr="00855942">
        <w:rPr>
          <w:rFonts w:cs="Arial"/>
          <w:szCs w:val="18"/>
          <w:lang w:val="en-US"/>
        </w:rPr>
        <w:t xml:space="preserve"> 232 and 233 of the South African Constitution.</w:t>
      </w:r>
    </w:p>
  </w:footnote>
  <w:footnote w:id="23">
    <w:p w:rsidR="00BC5A8B" w:rsidRPr="00E15DBB" w:rsidRDefault="00BC5A8B" w:rsidP="00710F11">
      <w:pPr>
        <w:pStyle w:val="FootnoteText"/>
        <w:rPr>
          <w:rFonts w:cs="Arial"/>
          <w:lang w:val="en-US"/>
        </w:rPr>
      </w:pPr>
      <w:r w:rsidRPr="00E15DBB">
        <w:rPr>
          <w:rStyle w:val="FootnoteReference"/>
          <w:rFonts w:cs="Arial"/>
        </w:rPr>
        <w:footnoteRef/>
      </w:r>
      <w:r w:rsidRPr="00E15DBB">
        <w:rPr>
          <w:rFonts w:cs="Arial"/>
        </w:rPr>
        <w:t xml:space="preserve"> </w:t>
      </w:r>
      <w:r>
        <w:rPr>
          <w:rFonts w:cs="Arial"/>
        </w:rPr>
        <w:tab/>
      </w:r>
      <w:r w:rsidRPr="00E15DBB">
        <w:rPr>
          <w:rFonts w:cs="Arial"/>
          <w:lang w:val="en-US"/>
        </w:rPr>
        <w:t xml:space="preserve">South Africa signed this Instrument on 14 July 1999 and ratified it on 7 November 2002. </w:t>
      </w:r>
      <w:r>
        <w:rPr>
          <w:rFonts w:cs="Arial"/>
          <w:lang w:val="en-US"/>
        </w:rPr>
        <w:t>"</w:t>
      </w:r>
      <w:r w:rsidRPr="00E15DBB">
        <w:rPr>
          <w:rFonts w:cs="Arial"/>
          <w:lang w:val="en-US"/>
        </w:rPr>
        <w:t>List of Countries which have Signed, Ratified/Acceded to the OAU Convention on the Prevention and Combatting of Terrorism</w:t>
      </w:r>
      <w:r>
        <w:rPr>
          <w:rFonts w:cs="Arial"/>
          <w:lang w:val="en-US"/>
        </w:rPr>
        <w:t>"</w:t>
      </w:r>
      <w:r w:rsidRPr="00E15DBB">
        <w:rPr>
          <w:rFonts w:cs="Arial"/>
          <w:lang w:val="en-US"/>
        </w:rPr>
        <w:t xml:space="preserve"> </w:t>
      </w:r>
      <w:r w:rsidRPr="00E15DBB">
        <w:rPr>
          <w:rFonts w:cs="Arial"/>
          <w:i/>
          <w:lang w:val="en-US"/>
        </w:rPr>
        <w:t>African Union</w:t>
      </w:r>
      <w:r w:rsidRPr="00E15DBB">
        <w:rPr>
          <w:rFonts w:cs="Arial"/>
          <w:lang w:val="en-US"/>
        </w:rPr>
        <w:t xml:space="preserve"> (15 June 2017) available at </w:t>
      </w:r>
      <w:hyperlink r:id="rId3" w:history="1">
        <w:r w:rsidRPr="00E15DBB">
          <w:rPr>
            <w:rStyle w:val="Hyperlink"/>
            <w:rFonts w:cs="Arial"/>
          </w:rPr>
          <w:t>https://au.int/sites/default/files/treaties/7779-sl-oau_convention_on_the_prevention_and_combating_of_terrorism_1.pdf</w:t>
        </w:r>
      </w:hyperlink>
      <w:r w:rsidRPr="00E15DBB">
        <w:rPr>
          <w:rFonts w:cs="Arial"/>
          <w:lang w:val="en-US"/>
        </w:rPr>
        <w:t xml:space="preserve">, (last accessed: 22 November 2017). </w:t>
      </w:r>
    </w:p>
  </w:footnote>
  <w:footnote w:id="24">
    <w:p w:rsidR="00BC5A8B" w:rsidRPr="00E15DBB" w:rsidRDefault="00BC5A8B" w:rsidP="00710F11">
      <w:pPr>
        <w:pStyle w:val="FootnoteText"/>
        <w:rPr>
          <w:rFonts w:cs="Arial"/>
          <w:lang w:val="en-US"/>
        </w:rPr>
      </w:pPr>
      <w:r w:rsidRPr="00E15DBB">
        <w:rPr>
          <w:rStyle w:val="FootnoteReference"/>
          <w:rFonts w:cs="Arial"/>
        </w:rPr>
        <w:footnoteRef/>
      </w:r>
      <w:r w:rsidRPr="00E15DBB">
        <w:rPr>
          <w:rFonts w:cs="Arial"/>
        </w:rPr>
        <w:t xml:space="preserve"> </w:t>
      </w:r>
      <w:r>
        <w:rPr>
          <w:rFonts w:cs="Arial"/>
        </w:rPr>
        <w:tab/>
      </w:r>
      <w:r w:rsidRPr="00E15DBB">
        <w:rPr>
          <w:rFonts w:cs="Arial"/>
          <w:lang w:val="en-US"/>
        </w:rPr>
        <w:t xml:space="preserve">Article 20 of the African Charter on Human and Peoples Rights. South Africa ratified this instrument on 9 July 1996. </w:t>
      </w:r>
      <w:r>
        <w:rPr>
          <w:rFonts w:cs="Arial"/>
          <w:lang w:val="en-US"/>
        </w:rPr>
        <w:t>"</w:t>
      </w:r>
      <w:r w:rsidRPr="00E15DBB">
        <w:rPr>
          <w:rFonts w:cs="Arial"/>
          <w:lang w:val="en-US"/>
        </w:rPr>
        <w:t>Ratification Table: African Charter on Human and Peoples’ Rights</w:t>
      </w:r>
      <w:r>
        <w:rPr>
          <w:rFonts w:cs="Arial"/>
          <w:lang w:val="en-US"/>
        </w:rPr>
        <w:t>"</w:t>
      </w:r>
      <w:r w:rsidRPr="00E15DBB">
        <w:rPr>
          <w:rFonts w:cs="Arial"/>
          <w:lang w:val="en-US"/>
        </w:rPr>
        <w:t xml:space="preserve"> </w:t>
      </w:r>
      <w:r w:rsidRPr="00E15DBB">
        <w:rPr>
          <w:rFonts w:cs="Arial"/>
          <w:i/>
          <w:lang w:val="en-US"/>
        </w:rPr>
        <w:t>African Commission on Human and Peoples’ Rights</w:t>
      </w:r>
      <w:r w:rsidRPr="00E15DBB">
        <w:rPr>
          <w:rFonts w:cs="Arial"/>
          <w:lang w:val="en-US"/>
        </w:rPr>
        <w:t xml:space="preserve"> available at </w:t>
      </w:r>
      <w:hyperlink r:id="rId4" w:history="1">
        <w:r w:rsidRPr="00E15DBB">
          <w:rPr>
            <w:rStyle w:val="Hyperlink"/>
            <w:rFonts w:cs="Arial"/>
          </w:rPr>
          <w:t>http://www.achpr.org/instruments/achpr/ratification/</w:t>
        </w:r>
      </w:hyperlink>
      <w:r w:rsidRPr="00E15DBB">
        <w:rPr>
          <w:rFonts w:cs="Arial"/>
          <w:lang w:val="en-US"/>
        </w:rPr>
        <w:t>, (last accessed: 22 November 2017).</w:t>
      </w:r>
    </w:p>
  </w:footnote>
  <w:footnote w:id="25">
    <w:p w:rsidR="00BC5A8B" w:rsidRPr="00E15DBB" w:rsidRDefault="00BC5A8B" w:rsidP="00710F11">
      <w:pPr>
        <w:pStyle w:val="FootnoteText"/>
        <w:rPr>
          <w:rFonts w:cs="Arial"/>
          <w:lang w:val="en-US"/>
        </w:rPr>
      </w:pPr>
      <w:r w:rsidRPr="00E15DBB">
        <w:rPr>
          <w:rStyle w:val="FootnoteReference"/>
          <w:rFonts w:cs="Arial"/>
        </w:rPr>
        <w:footnoteRef/>
      </w:r>
      <w:r w:rsidRPr="00E15DBB">
        <w:rPr>
          <w:rFonts w:cs="Arial"/>
        </w:rPr>
        <w:t xml:space="preserve"> </w:t>
      </w:r>
      <w:r>
        <w:rPr>
          <w:rFonts w:cs="Arial"/>
        </w:rPr>
        <w:tab/>
      </w:r>
      <w:r w:rsidRPr="00E15DBB">
        <w:rPr>
          <w:rFonts w:cs="Arial"/>
          <w:lang w:val="en-US"/>
        </w:rPr>
        <w:t xml:space="preserve">South Africa ratified this Convention on 23 September 2003. </w:t>
      </w:r>
      <w:r>
        <w:rPr>
          <w:rFonts w:cs="Arial"/>
          <w:lang w:val="en-US"/>
        </w:rPr>
        <w:t>"</w:t>
      </w:r>
      <w:r w:rsidRPr="00E15DBB">
        <w:rPr>
          <w:rFonts w:cs="Arial"/>
          <w:lang w:val="en-US"/>
        </w:rPr>
        <w:t>International Convention Against the Taking of Hostages</w:t>
      </w:r>
      <w:r>
        <w:rPr>
          <w:rFonts w:cs="Arial"/>
          <w:lang w:val="en-US"/>
        </w:rPr>
        <w:t>"</w:t>
      </w:r>
      <w:r w:rsidRPr="00E15DBB">
        <w:rPr>
          <w:rFonts w:cs="Arial"/>
          <w:lang w:val="en-US"/>
        </w:rPr>
        <w:t xml:space="preserve"> </w:t>
      </w:r>
      <w:r w:rsidRPr="00E15DBB">
        <w:rPr>
          <w:rFonts w:cs="Arial"/>
          <w:i/>
          <w:lang w:val="en-US"/>
        </w:rPr>
        <w:t xml:space="preserve">United Nations Treaty Collection </w:t>
      </w:r>
      <w:r w:rsidRPr="00E15DBB">
        <w:rPr>
          <w:rFonts w:cs="Arial"/>
          <w:lang w:val="en-US"/>
        </w:rPr>
        <w:t xml:space="preserve">available at </w:t>
      </w:r>
      <w:hyperlink r:id="rId5" w:history="1">
        <w:r w:rsidRPr="00E15DBB">
          <w:rPr>
            <w:rStyle w:val="Hyperlink"/>
            <w:rFonts w:cs="Arial"/>
          </w:rPr>
          <w:t>https://treaties.un.org/pages/viewdetails.aspx?src=ind&amp;mtdsg_no=xviii-5&amp;chapter=18&amp;lang=en</w:t>
        </w:r>
      </w:hyperlink>
      <w:r w:rsidRPr="00E15DBB">
        <w:rPr>
          <w:rFonts w:cs="Arial"/>
        </w:rPr>
        <w:t xml:space="preserve">, </w:t>
      </w:r>
      <w:r w:rsidRPr="00E15DBB">
        <w:rPr>
          <w:rFonts w:cs="Arial"/>
          <w:lang w:val="en-US"/>
        </w:rPr>
        <w:t xml:space="preserve">(last accessed: 22 November 2017). </w:t>
      </w:r>
    </w:p>
  </w:footnote>
  <w:footnote w:id="26">
    <w:p w:rsidR="00BC5A8B" w:rsidRPr="00E15DBB" w:rsidRDefault="00BC5A8B" w:rsidP="00710F11">
      <w:pPr>
        <w:pStyle w:val="FootnoteText"/>
        <w:rPr>
          <w:rFonts w:cs="Arial"/>
          <w:lang w:val="en-US"/>
        </w:rPr>
      </w:pPr>
      <w:r w:rsidRPr="00E15DBB">
        <w:rPr>
          <w:rStyle w:val="FootnoteReference"/>
          <w:rFonts w:cs="Arial"/>
        </w:rPr>
        <w:footnoteRef/>
      </w:r>
      <w:r w:rsidRPr="00E15DBB">
        <w:rPr>
          <w:rFonts w:cs="Arial"/>
        </w:rPr>
        <w:t xml:space="preserve"> </w:t>
      </w:r>
      <w:r>
        <w:rPr>
          <w:rFonts w:cs="Arial"/>
        </w:rPr>
        <w:tab/>
      </w:r>
      <w:r w:rsidRPr="00E15DBB">
        <w:rPr>
          <w:rFonts w:cs="Arial"/>
          <w:lang w:val="en-US"/>
        </w:rPr>
        <w:t xml:space="preserve">Lucia Aleni </w:t>
      </w:r>
      <w:r>
        <w:rPr>
          <w:rFonts w:cs="Arial"/>
          <w:lang w:val="en-US"/>
        </w:rPr>
        <w:t>"</w:t>
      </w:r>
      <w:r w:rsidRPr="00E15DBB">
        <w:rPr>
          <w:rFonts w:cs="Arial"/>
          <w:lang w:val="en-US"/>
        </w:rPr>
        <w:t>Distinguishing Terrorism from Wars of National; Liberation in the Light of International Law</w:t>
      </w:r>
      <w:r>
        <w:rPr>
          <w:rFonts w:cs="Arial"/>
          <w:lang w:val="en-US"/>
        </w:rPr>
        <w:t>"</w:t>
      </w:r>
      <w:r w:rsidRPr="00E15DBB">
        <w:rPr>
          <w:rFonts w:cs="Arial"/>
          <w:lang w:val="en-US"/>
        </w:rPr>
        <w:t xml:space="preserve"> (2008) (6) </w:t>
      </w:r>
      <w:r w:rsidRPr="00E15DBB">
        <w:rPr>
          <w:rFonts w:cs="Arial"/>
          <w:i/>
          <w:lang w:val="en-US"/>
        </w:rPr>
        <w:t>J. Int’l Crim. Just.</w:t>
      </w:r>
      <w:r w:rsidRPr="00E15DBB">
        <w:rPr>
          <w:rFonts w:cs="Arial"/>
          <w:lang w:val="en-US"/>
        </w:rPr>
        <w:t xml:space="preserve"> 525, 528-529.</w:t>
      </w:r>
    </w:p>
  </w:footnote>
  <w:footnote w:id="27">
    <w:p w:rsidR="00BC5A8B" w:rsidRPr="00E15DBB" w:rsidRDefault="00BC5A8B" w:rsidP="00710F11">
      <w:pPr>
        <w:pStyle w:val="FootnoteText"/>
        <w:rPr>
          <w:rFonts w:cs="Arial"/>
          <w:i/>
          <w:lang w:val="en-US"/>
        </w:rPr>
      </w:pPr>
      <w:r w:rsidRPr="00E15DBB">
        <w:rPr>
          <w:rStyle w:val="FootnoteReference"/>
          <w:rFonts w:cs="Arial"/>
        </w:rPr>
        <w:footnoteRef/>
      </w:r>
      <w:r w:rsidRPr="00E15DBB">
        <w:rPr>
          <w:rFonts w:cs="Arial"/>
        </w:rPr>
        <w:t xml:space="preserve"> </w:t>
      </w:r>
      <w:r>
        <w:rPr>
          <w:rFonts w:cs="Arial"/>
        </w:rPr>
        <w:tab/>
      </w:r>
      <w:r w:rsidRPr="00E15DBB">
        <w:rPr>
          <w:rFonts w:cs="Arial"/>
          <w:i/>
        </w:rPr>
        <w:t>Italy v Abdelaziz and ors, Final Judgment</w:t>
      </w:r>
      <w:r w:rsidRPr="00E15DBB">
        <w:rPr>
          <w:rFonts w:cs="Arial"/>
        </w:rPr>
        <w:t>, No. 1072, (2007) 17 Guida al Diritto 90, ILDC 559 (IT 2007), 17</w:t>
      </w:r>
      <w:r w:rsidRPr="00E15DBB">
        <w:rPr>
          <w:rFonts w:cs="Arial"/>
          <w:vertAlign w:val="superscript"/>
        </w:rPr>
        <w:t>th</w:t>
      </w:r>
      <w:r w:rsidRPr="00E15DBB">
        <w:rPr>
          <w:rFonts w:cs="Arial"/>
        </w:rPr>
        <w:t xml:space="preserve"> January 2007, Italy; Supreme Court of Cessation; 1</w:t>
      </w:r>
      <w:r w:rsidRPr="00E15DBB">
        <w:rPr>
          <w:rFonts w:cs="Arial"/>
          <w:vertAlign w:val="superscript"/>
        </w:rPr>
        <w:t>st</w:t>
      </w:r>
      <w:r w:rsidRPr="00E15DBB">
        <w:rPr>
          <w:rFonts w:cs="Arial"/>
        </w:rPr>
        <w:t xml:space="preserve"> Criminal Section, 77-94.</w:t>
      </w:r>
    </w:p>
  </w:footnote>
  <w:footnote w:id="28">
    <w:p w:rsidR="00BC5A8B" w:rsidRPr="00E15DBB" w:rsidRDefault="00BC5A8B" w:rsidP="00710F11">
      <w:pPr>
        <w:pStyle w:val="FootnoteText"/>
        <w:rPr>
          <w:rFonts w:cs="Arial"/>
        </w:rPr>
      </w:pPr>
      <w:r w:rsidRPr="00E15DBB">
        <w:rPr>
          <w:rStyle w:val="FootnoteReference"/>
          <w:rFonts w:cs="Arial"/>
        </w:rPr>
        <w:footnoteRef/>
      </w:r>
      <w:r w:rsidRPr="00E15DBB">
        <w:rPr>
          <w:rFonts w:cs="Arial"/>
        </w:rPr>
        <w:t xml:space="preserve"> </w:t>
      </w:r>
      <w:r w:rsidRPr="00E15DBB">
        <w:rPr>
          <w:rFonts w:cs="Arial"/>
        </w:rPr>
        <w:tab/>
      </w:r>
      <w:r w:rsidRPr="00E15DBB">
        <w:rPr>
          <w:rFonts w:cs="Arial"/>
          <w:i/>
        </w:rPr>
        <w:t>Italy v Abdelaziz and ors, Final Judgment</w:t>
      </w:r>
      <w:r w:rsidRPr="00E15DBB">
        <w:rPr>
          <w:rFonts w:cs="Arial"/>
        </w:rPr>
        <w:t>, No. 1072, (2007) 17 Guida al Diritto 90, ILDC 559 (IT 2007), 17</w:t>
      </w:r>
      <w:r w:rsidRPr="00E15DBB">
        <w:rPr>
          <w:rFonts w:cs="Arial"/>
          <w:vertAlign w:val="superscript"/>
        </w:rPr>
        <w:t>th</w:t>
      </w:r>
      <w:r w:rsidRPr="00E15DBB">
        <w:rPr>
          <w:rFonts w:cs="Arial"/>
        </w:rPr>
        <w:t xml:space="preserve"> January 2007, Italy; Supreme Court of Cessation; 1</w:t>
      </w:r>
      <w:r w:rsidRPr="00E15DBB">
        <w:rPr>
          <w:rFonts w:cs="Arial"/>
          <w:vertAlign w:val="superscript"/>
        </w:rPr>
        <w:t>st</w:t>
      </w:r>
      <w:r w:rsidRPr="00E15DBB">
        <w:rPr>
          <w:rFonts w:cs="Arial"/>
        </w:rPr>
        <w:t xml:space="preserve"> Criminal Section at para 2.1.</w:t>
      </w:r>
    </w:p>
  </w:footnote>
  <w:footnote w:id="29">
    <w:p w:rsidR="00BC5A8B" w:rsidRPr="00B517DA" w:rsidRDefault="00BC5A8B" w:rsidP="00710F11">
      <w:pPr>
        <w:pStyle w:val="FootnoteText"/>
        <w:rPr>
          <w:rFonts w:cs="Arial"/>
          <w:lang w:val="en-US"/>
        </w:rPr>
      </w:pPr>
      <w:r w:rsidRPr="00B517DA">
        <w:rPr>
          <w:rStyle w:val="FootnoteReference"/>
          <w:rFonts w:cs="Arial"/>
        </w:rPr>
        <w:footnoteRef/>
      </w:r>
      <w:r w:rsidRPr="00B517DA">
        <w:rPr>
          <w:rFonts w:cs="Arial"/>
        </w:rPr>
        <w:t xml:space="preserve"> </w:t>
      </w:r>
      <w:r>
        <w:rPr>
          <w:rFonts w:cs="Arial"/>
        </w:rPr>
        <w:tab/>
      </w:r>
      <w:r w:rsidRPr="00B517DA">
        <w:rPr>
          <w:rFonts w:cs="Arial"/>
          <w:i/>
        </w:rPr>
        <w:t>Italy v Abdelaziz and ors, Final Judgment</w:t>
      </w:r>
      <w:r w:rsidRPr="00B517DA">
        <w:rPr>
          <w:rFonts w:cs="Arial"/>
        </w:rPr>
        <w:t>, No. 1072, (2007) 17 Guida al Diritto 90, ILDC 559 (IT 2007), 17</w:t>
      </w:r>
      <w:r w:rsidRPr="00B517DA">
        <w:rPr>
          <w:rFonts w:cs="Arial"/>
          <w:vertAlign w:val="superscript"/>
        </w:rPr>
        <w:t>th</w:t>
      </w:r>
      <w:r w:rsidRPr="00B517DA">
        <w:rPr>
          <w:rFonts w:cs="Arial"/>
        </w:rPr>
        <w:t xml:space="preserve"> January 2007, Italy; Supreme Court of Cessation; 1</w:t>
      </w:r>
      <w:r w:rsidRPr="00B517DA">
        <w:rPr>
          <w:rFonts w:cs="Arial"/>
          <w:vertAlign w:val="superscript"/>
        </w:rPr>
        <w:t>st</w:t>
      </w:r>
      <w:r w:rsidRPr="00B517DA">
        <w:rPr>
          <w:rFonts w:cs="Arial"/>
        </w:rPr>
        <w:t xml:space="preserve"> Criminal Section at </w:t>
      </w:r>
      <w:r w:rsidRPr="00B517DA">
        <w:rPr>
          <w:rFonts w:cs="Arial"/>
          <w:lang w:val="en-US"/>
        </w:rPr>
        <w:t>para 2.1.</w:t>
      </w:r>
    </w:p>
  </w:footnote>
  <w:footnote w:id="30">
    <w:p w:rsidR="00BC5A8B" w:rsidRPr="00B517DA" w:rsidRDefault="00BC5A8B" w:rsidP="00710F11">
      <w:pPr>
        <w:pStyle w:val="FootnoteText"/>
        <w:rPr>
          <w:rFonts w:cs="Arial"/>
          <w:i/>
        </w:rPr>
      </w:pPr>
      <w:r w:rsidRPr="00B517DA">
        <w:rPr>
          <w:rStyle w:val="FootnoteReference"/>
          <w:rFonts w:cs="Arial"/>
        </w:rPr>
        <w:footnoteRef/>
      </w:r>
      <w:r w:rsidRPr="00B517DA">
        <w:rPr>
          <w:rFonts w:cs="Arial"/>
        </w:rPr>
        <w:t xml:space="preserve"> </w:t>
      </w:r>
      <w:r>
        <w:rPr>
          <w:rFonts w:cs="Arial"/>
        </w:rPr>
        <w:tab/>
      </w:r>
      <w:r w:rsidRPr="00B517DA">
        <w:rPr>
          <w:rFonts w:cs="Arial"/>
          <w:i/>
        </w:rPr>
        <w:t>R v Mohammed Gul</w:t>
      </w:r>
      <w:r w:rsidRPr="00B517DA">
        <w:rPr>
          <w:rFonts w:cs="Arial"/>
        </w:rPr>
        <w:t xml:space="preserve">, Case No. 2011/01697/C5, [2012] EWCA Crim 280; See also Antonio Coco, </w:t>
      </w:r>
      <w:r>
        <w:rPr>
          <w:rFonts w:cs="Arial"/>
        </w:rPr>
        <w:t>"</w:t>
      </w:r>
      <w:r w:rsidRPr="00B517DA">
        <w:rPr>
          <w:rFonts w:cs="Arial"/>
        </w:rPr>
        <w:t>The Mark of Cain: The Crime of Terrorism in Times of Armed Conflict as Interpreted by the Court of Appeal of England and Wales in R v Mohammed Gul</w:t>
      </w:r>
      <w:r>
        <w:rPr>
          <w:rFonts w:cs="Arial"/>
        </w:rPr>
        <w:t>"</w:t>
      </w:r>
      <w:r w:rsidRPr="00B517DA">
        <w:rPr>
          <w:rFonts w:cs="Arial"/>
        </w:rPr>
        <w:t xml:space="preserve"> (2013) (11) (2) J. Int’l Crim. Just. 425-440</w:t>
      </w:r>
    </w:p>
  </w:footnote>
  <w:footnote w:id="31">
    <w:p w:rsidR="00BC5A8B" w:rsidRPr="00B517DA" w:rsidRDefault="00BC5A8B" w:rsidP="00710F11">
      <w:pPr>
        <w:pStyle w:val="FootnoteText"/>
        <w:rPr>
          <w:rFonts w:cs="Arial"/>
        </w:rPr>
      </w:pPr>
      <w:r w:rsidRPr="00B517DA">
        <w:rPr>
          <w:rStyle w:val="FootnoteReference"/>
          <w:rFonts w:cs="Arial"/>
        </w:rPr>
        <w:footnoteRef/>
      </w:r>
      <w:r w:rsidRPr="00B517DA">
        <w:rPr>
          <w:rFonts w:cs="Arial"/>
        </w:rPr>
        <w:t xml:space="preserve"> </w:t>
      </w:r>
      <w:r>
        <w:rPr>
          <w:rFonts w:cs="Arial"/>
        </w:rPr>
        <w:tab/>
      </w:r>
      <w:r w:rsidRPr="00B517DA">
        <w:rPr>
          <w:rFonts w:cs="Arial"/>
          <w:i/>
        </w:rPr>
        <w:t>R v Gul</w:t>
      </w:r>
      <w:r w:rsidRPr="00B517DA">
        <w:rPr>
          <w:rFonts w:cs="Arial"/>
        </w:rPr>
        <w:t xml:space="preserve"> [2013] UKSC 64 at para 45. </w:t>
      </w:r>
    </w:p>
  </w:footnote>
  <w:footnote w:id="32">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rPr>
        <w:t xml:space="preserve">D Galzier </w:t>
      </w:r>
      <w:r>
        <w:rPr>
          <w:rFonts w:cs="Arial"/>
        </w:rPr>
        <w:t>"</w:t>
      </w:r>
      <w:r w:rsidRPr="002B76DC">
        <w:rPr>
          <w:rFonts w:cs="Arial"/>
        </w:rPr>
        <w:t>Wars of National Liberation</w:t>
      </w:r>
      <w:r>
        <w:rPr>
          <w:rFonts w:cs="Arial"/>
        </w:rPr>
        <w:t>"</w:t>
      </w:r>
      <w:r w:rsidRPr="002B76DC">
        <w:rPr>
          <w:rFonts w:cs="Arial"/>
        </w:rPr>
        <w:t xml:space="preserve"> </w:t>
      </w:r>
      <w:r w:rsidRPr="002B76DC">
        <w:rPr>
          <w:rFonts w:cs="Arial"/>
          <w:i/>
        </w:rPr>
        <w:t>Max Planck Encyclopaedia of Public International Law</w:t>
      </w:r>
      <w:r w:rsidRPr="002B76DC">
        <w:rPr>
          <w:rFonts w:cs="Arial"/>
        </w:rPr>
        <w:t xml:space="preserve"> (May 2009) available at http://opil.ouplaw.com/view/10.1093/law:epil/9780199231690/law-9780199231690-e442</w:t>
      </w:r>
      <w:r w:rsidRPr="002B76DC">
        <w:rPr>
          <w:rFonts w:cs="Arial"/>
          <w:lang w:val="en-US"/>
        </w:rPr>
        <w:t xml:space="preserve"> (last accessed: 22 November 2017). </w:t>
      </w:r>
    </w:p>
  </w:footnote>
  <w:footnote w:id="33">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i/>
        </w:rPr>
        <w:t>Morocco v Spain</w:t>
      </w:r>
      <w:r w:rsidRPr="002B76DC">
        <w:rPr>
          <w:rFonts w:cs="Arial"/>
        </w:rPr>
        <w:t xml:space="preserve"> (Advisory Opinion) 1975 ICJ 12 (16 October 1975) at para 59.</w:t>
      </w:r>
    </w:p>
  </w:footnote>
  <w:footnote w:id="34">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rPr>
        <w:t xml:space="preserve">J Kämmerer </w:t>
      </w:r>
      <w:r>
        <w:rPr>
          <w:rFonts w:cs="Arial"/>
        </w:rPr>
        <w:t>"</w:t>
      </w:r>
      <w:r w:rsidRPr="002B76DC">
        <w:rPr>
          <w:rFonts w:cs="Arial"/>
        </w:rPr>
        <w:t>Colonialims</w:t>
      </w:r>
      <w:r>
        <w:rPr>
          <w:rFonts w:cs="Arial"/>
        </w:rPr>
        <w:t>"</w:t>
      </w:r>
      <w:r w:rsidRPr="002B76DC">
        <w:rPr>
          <w:rFonts w:cs="Arial"/>
        </w:rPr>
        <w:t xml:space="preserve"> </w:t>
      </w:r>
      <w:r w:rsidRPr="002B76DC">
        <w:rPr>
          <w:rFonts w:cs="Arial"/>
          <w:i/>
        </w:rPr>
        <w:t>Max Planck Encyclopaedia of Public International Law</w:t>
      </w:r>
      <w:r w:rsidRPr="002B76DC">
        <w:rPr>
          <w:rFonts w:cs="Arial"/>
        </w:rPr>
        <w:t xml:space="preserve"> (May 2008) available at</w:t>
      </w:r>
      <w:r w:rsidRPr="002B76DC">
        <w:rPr>
          <w:rFonts w:cs="Arial"/>
          <w:lang w:val="en-US"/>
        </w:rPr>
        <w:t xml:space="preserve"> </w:t>
      </w:r>
      <w:r w:rsidRPr="002B76DC">
        <w:rPr>
          <w:rFonts w:cs="Arial"/>
        </w:rPr>
        <w:t>http://opil.ouplaw.com/view/10.1093/law:epil/9780199231690/law-9780199231690-e690</w:t>
      </w:r>
      <w:r w:rsidRPr="002B76DC">
        <w:rPr>
          <w:rFonts w:cs="Arial"/>
          <w:lang w:val="en-US"/>
        </w:rPr>
        <w:t xml:space="preserve"> (last accessed: 22 November 2017). </w:t>
      </w:r>
    </w:p>
  </w:footnote>
  <w:footnote w:id="35">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lang w:val="en-US"/>
        </w:rPr>
        <w:t>Art. 1, para 2 and art. 55 of the</w:t>
      </w:r>
      <w:r>
        <w:rPr>
          <w:rFonts w:cs="Arial"/>
          <w:lang w:val="en-US"/>
        </w:rPr>
        <w:t xml:space="preserve"> </w:t>
      </w:r>
      <w:r w:rsidRPr="002B76DC">
        <w:rPr>
          <w:rFonts w:cs="Arial"/>
          <w:lang w:val="en-US"/>
        </w:rPr>
        <w:t>Charter of the United Nations.</w:t>
      </w:r>
    </w:p>
  </w:footnote>
  <w:footnote w:id="36">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rPr>
        <w:t>Universal Declaration of Human Rights United Nations General Assembly Resolution 217A U.N. Doc A/810 Art. 21 Para. 3 (1948).</w:t>
      </w:r>
    </w:p>
  </w:footnote>
  <w:footnote w:id="37">
    <w:p w:rsidR="00BC5A8B" w:rsidRPr="002B76DC" w:rsidRDefault="00BC5A8B" w:rsidP="00710F11">
      <w:pPr>
        <w:pStyle w:val="FootnoteText"/>
        <w:rPr>
          <w:rFonts w:cs="Arial"/>
        </w:rPr>
      </w:pPr>
      <w:r w:rsidRPr="002B76DC">
        <w:rPr>
          <w:rStyle w:val="FootnoteReference"/>
          <w:rFonts w:cs="Arial"/>
          <w:sz w:val="20"/>
        </w:rPr>
        <w:footnoteRef/>
      </w:r>
      <w:r w:rsidRPr="002B76DC">
        <w:rPr>
          <w:rFonts w:cs="Arial"/>
          <w:sz w:val="20"/>
        </w:rPr>
        <w:t xml:space="preserve"> </w:t>
      </w:r>
      <w:r w:rsidRPr="002B76DC">
        <w:rPr>
          <w:rFonts w:cs="Arial"/>
        </w:rPr>
        <w:tab/>
        <w:t>International Covenant on Economic, Social and Cultural Rights UN GA Resolution 220 UN Doc A/ 6316, 993 at 49 (1996).</w:t>
      </w:r>
    </w:p>
  </w:footnote>
  <w:footnote w:id="38">
    <w:p w:rsidR="00BC5A8B" w:rsidRPr="002B76DC" w:rsidRDefault="00BC5A8B" w:rsidP="00710F11">
      <w:pPr>
        <w:pStyle w:val="FootnoteText"/>
        <w:rPr>
          <w:rFonts w:cs="Arial"/>
          <w:lang w:val="en-US"/>
        </w:rPr>
      </w:pPr>
      <w:r w:rsidRPr="002B76DC">
        <w:rPr>
          <w:rStyle w:val="FootnoteReference"/>
          <w:rFonts w:cs="Arial"/>
        </w:rPr>
        <w:footnoteRef/>
      </w:r>
      <w:r w:rsidRPr="002B76DC">
        <w:rPr>
          <w:rFonts w:cs="Arial"/>
        </w:rPr>
        <w:t xml:space="preserve"> </w:t>
      </w:r>
      <w:r>
        <w:rPr>
          <w:rFonts w:cs="Arial"/>
        </w:rPr>
        <w:tab/>
      </w:r>
      <w:r w:rsidRPr="002B76DC">
        <w:rPr>
          <w:rFonts w:cs="Arial"/>
        </w:rPr>
        <w:t>International Covenant on Civil and Political Rights UN GA Resolution 220 UN Doc A/6316 at 52 (1966).</w:t>
      </w:r>
    </w:p>
  </w:footnote>
  <w:footnote w:id="39">
    <w:p w:rsidR="00BC5A8B" w:rsidRPr="002B76DC" w:rsidRDefault="00BC5A8B" w:rsidP="00710F11">
      <w:pPr>
        <w:pStyle w:val="FootnoteText"/>
        <w:rPr>
          <w:rFonts w:cs="Arial"/>
        </w:rPr>
      </w:pPr>
      <w:r w:rsidRPr="002B76DC">
        <w:rPr>
          <w:rStyle w:val="FootnoteReference"/>
          <w:rFonts w:cs="Arial"/>
          <w:sz w:val="20"/>
        </w:rPr>
        <w:footnoteRef/>
      </w:r>
      <w:r w:rsidRPr="002B76DC">
        <w:rPr>
          <w:rFonts w:cs="Arial"/>
          <w:sz w:val="20"/>
        </w:rPr>
        <w:t xml:space="preserve"> </w:t>
      </w:r>
      <w:r w:rsidRPr="002B76DC">
        <w:rPr>
          <w:rFonts w:cs="Arial"/>
        </w:rPr>
        <w:tab/>
        <w:t xml:space="preserve">United Nations General Assembly's Declaration on Principles of International Law concerning Friendly Relations and Cooperation Among States in Accordance with the Charter of the United Nations UN GA Resolution 2625 (XXV) UN Doc A/RES/25/2625 (24 October 1970) available at http://www.un-documents.net/a25r2625.htm (last accessed: 22 November 2017). </w:t>
      </w:r>
    </w:p>
  </w:footnote>
  <w:footnote w:id="40">
    <w:p w:rsidR="00BC5A8B" w:rsidRPr="004F5B8A" w:rsidRDefault="00BC5A8B" w:rsidP="00710F11">
      <w:pPr>
        <w:pStyle w:val="FootnoteText"/>
        <w:rPr>
          <w:rFonts w:cs="Arial"/>
          <w:szCs w:val="18"/>
        </w:rPr>
      </w:pPr>
      <w:r w:rsidRPr="004F5B8A">
        <w:rPr>
          <w:rStyle w:val="FootnoteReference"/>
          <w:rFonts w:cs="Arial"/>
          <w:sz w:val="18"/>
          <w:szCs w:val="18"/>
        </w:rPr>
        <w:footnoteRef/>
      </w:r>
      <w:r w:rsidRPr="004F5B8A">
        <w:rPr>
          <w:rFonts w:cs="Arial"/>
          <w:szCs w:val="18"/>
        </w:rPr>
        <w:t xml:space="preserve"> </w:t>
      </w:r>
      <w:r>
        <w:rPr>
          <w:rFonts w:cs="Arial"/>
          <w:szCs w:val="18"/>
        </w:rPr>
        <w:tab/>
        <w:t>"</w:t>
      </w:r>
      <w:r w:rsidRPr="004F5B8A">
        <w:rPr>
          <w:rFonts w:cs="Arial"/>
          <w:szCs w:val="18"/>
        </w:rPr>
        <w:t>Self-determination (international law)</w:t>
      </w:r>
      <w:r>
        <w:rPr>
          <w:rFonts w:cs="Arial"/>
          <w:szCs w:val="18"/>
        </w:rPr>
        <w:t>"</w:t>
      </w:r>
      <w:r w:rsidRPr="004F5B8A">
        <w:rPr>
          <w:rFonts w:cs="Arial"/>
          <w:szCs w:val="18"/>
        </w:rPr>
        <w:t xml:space="preserve"> </w:t>
      </w:r>
      <w:r w:rsidRPr="004F5B8A">
        <w:rPr>
          <w:rFonts w:cs="Arial"/>
          <w:i/>
          <w:szCs w:val="18"/>
        </w:rPr>
        <w:t>Legal Information Institute</w:t>
      </w:r>
      <w:r w:rsidRPr="004F5B8A">
        <w:rPr>
          <w:rFonts w:cs="Arial"/>
          <w:szCs w:val="18"/>
        </w:rPr>
        <w:t xml:space="preserve"> available at https://www.law.cornell.edu/wex/self_determination_international_law</w:t>
      </w:r>
      <w:r w:rsidRPr="004F5B8A">
        <w:rPr>
          <w:rFonts w:cs="Arial"/>
          <w:szCs w:val="18"/>
          <w:shd w:val="clear" w:color="auto" w:fill="FFFFFF"/>
        </w:rPr>
        <w:t xml:space="preserve"> (last accessed: 22 November 2017); see also H Moodrick-Even Khen </w:t>
      </w:r>
      <w:r>
        <w:rPr>
          <w:rFonts w:cs="Arial"/>
          <w:szCs w:val="18"/>
          <w:shd w:val="clear" w:color="auto" w:fill="FFFFFF"/>
        </w:rPr>
        <w:t>"</w:t>
      </w:r>
      <w:r w:rsidRPr="004F5B8A">
        <w:rPr>
          <w:rFonts w:cs="Arial"/>
          <w:szCs w:val="18"/>
          <w:shd w:val="clear" w:color="auto" w:fill="FFFFFF"/>
        </w:rPr>
        <w:t>Between Kurdistan and Catalonia: On the Right to Self-Determination of Peoples</w:t>
      </w:r>
      <w:r>
        <w:rPr>
          <w:rFonts w:cs="Arial"/>
          <w:szCs w:val="18"/>
          <w:shd w:val="clear" w:color="auto" w:fill="FFFFFF"/>
        </w:rPr>
        <w:t>"</w:t>
      </w:r>
      <w:r w:rsidRPr="004F5B8A">
        <w:rPr>
          <w:rFonts w:cs="Arial"/>
          <w:szCs w:val="18"/>
          <w:shd w:val="clear" w:color="auto" w:fill="FFFFFF"/>
        </w:rPr>
        <w:t xml:space="preserve"> (3 November 2017) available at </w:t>
      </w:r>
      <w:r w:rsidRPr="004F5B8A">
        <w:rPr>
          <w:rFonts w:cs="Arial"/>
          <w:szCs w:val="18"/>
        </w:rPr>
        <w:t xml:space="preserve">https://ilg2.org/2017/11/03/between-kurdistan-and-catalonia-on-the-right-to-self-determination-of-peoples/ (last accessed: 22 November 2017). </w:t>
      </w:r>
    </w:p>
  </w:footnote>
  <w:footnote w:id="41">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i/>
          <w:szCs w:val="18"/>
        </w:rPr>
        <w:t xml:space="preserve">Reference re Secession of Quebec </w:t>
      </w:r>
      <w:r w:rsidRPr="004F5B8A">
        <w:rPr>
          <w:rFonts w:cs="Arial"/>
          <w:szCs w:val="18"/>
        </w:rPr>
        <w:t xml:space="preserve">[1998] 2 SCR 217 at para 130. </w:t>
      </w:r>
    </w:p>
  </w:footnote>
  <w:footnote w:id="42">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i/>
          <w:szCs w:val="18"/>
        </w:rPr>
        <w:t xml:space="preserve">Reference re Secession of Quebec </w:t>
      </w:r>
      <w:r w:rsidRPr="004F5B8A">
        <w:rPr>
          <w:rFonts w:cs="Arial"/>
          <w:szCs w:val="18"/>
        </w:rPr>
        <w:t>[1998] 2 SCR 217 at</w:t>
      </w:r>
      <w:r w:rsidRPr="004F5B8A">
        <w:rPr>
          <w:rFonts w:cs="Arial"/>
          <w:szCs w:val="18"/>
          <w:lang w:val="en-US"/>
        </w:rPr>
        <w:t xml:space="preserve"> paras 135-137.</w:t>
      </w:r>
    </w:p>
  </w:footnote>
  <w:footnote w:id="43">
    <w:p w:rsidR="00BC5A8B" w:rsidRPr="004F5B8A" w:rsidRDefault="00BC5A8B" w:rsidP="00710F11">
      <w:pPr>
        <w:pStyle w:val="FootnoteText"/>
        <w:rPr>
          <w:rFonts w:cs="Arial"/>
          <w:szCs w:val="18"/>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Roya M. Hanna </w:t>
      </w:r>
      <w:r>
        <w:rPr>
          <w:rFonts w:cs="Arial"/>
          <w:szCs w:val="18"/>
        </w:rPr>
        <w:t>"</w:t>
      </w:r>
      <w:r w:rsidRPr="004F5B8A">
        <w:rPr>
          <w:rFonts w:cs="Arial"/>
          <w:szCs w:val="18"/>
        </w:rPr>
        <w:t>Right to Self-Determination in In Re Secession of Quebec</w:t>
      </w:r>
      <w:r>
        <w:rPr>
          <w:rFonts w:cs="Arial"/>
          <w:szCs w:val="18"/>
        </w:rPr>
        <w:t>"</w:t>
      </w:r>
      <w:r w:rsidRPr="004F5B8A">
        <w:rPr>
          <w:rFonts w:cs="Arial"/>
          <w:szCs w:val="18"/>
        </w:rPr>
        <w:t xml:space="preserve"> 23 </w:t>
      </w:r>
      <w:r w:rsidRPr="004F5B8A">
        <w:rPr>
          <w:rFonts w:cs="Arial"/>
          <w:i/>
          <w:szCs w:val="18"/>
        </w:rPr>
        <w:t>Md. J. Int'l L.</w:t>
      </w:r>
      <w:r w:rsidRPr="004F5B8A">
        <w:rPr>
          <w:rFonts w:cs="Arial"/>
          <w:szCs w:val="18"/>
        </w:rPr>
        <w:t xml:space="preserve"> 213, 229 (1999) (citing Gregory Marchildon &amp; Edward Maxwell </w:t>
      </w:r>
      <w:r>
        <w:rPr>
          <w:rFonts w:cs="Arial"/>
          <w:szCs w:val="18"/>
        </w:rPr>
        <w:t>"</w:t>
      </w:r>
      <w:r w:rsidRPr="004F5B8A">
        <w:rPr>
          <w:rFonts w:cs="Arial"/>
          <w:szCs w:val="18"/>
        </w:rPr>
        <w:t>Quebec's Right of Secession Under Canadian and International Law</w:t>
      </w:r>
      <w:r>
        <w:rPr>
          <w:rFonts w:cs="Arial"/>
          <w:szCs w:val="18"/>
        </w:rPr>
        <w:t>"</w:t>
      </w:r>
      <w:r w:rsidRPr="004F5B8A">
        <w:rPr>
          <w:rFonts w:cs="Arial"/>
          <w:szCs w:val="18"/>
        </w:rPr>
        <w:t xml:space="preserve"> 32 </w:t>
      </w:r>
      <w:r w:rsidRPr="004F5B8A">
        <w:rPr>
          <w:rFonts w:cs="Arial"/>
          <w:i/>
          <w:szCs w:val="18"/>
        </w:rPr>
        <w:t>VA. J. Int’l L.</w:t>
      </w:r>
      <w:r w:rsidRPr="004F5B8A">
        <w:rPr>
          <w:rFonts w:cs="Arial"/>
          <w:szCs w:val="18"/>
        </w:rPr>
        <w:t xml:space="preserve"> 583, 602-608 (1992)).</w:t>
      </w:r>
    </w:p>
  </w:footnote>
  <w:footnote w:id="44">
    <w:p w:rsidR="00BC5A8B" w:rsidRPr="004F5B8A" w:rsidRDefault="00BC5A8B" w:rsidP="00710F11">
      <w:pPr>
        <w:pStyle w:val="FootnoteText"/>
        <w:rPr>
          <w:rFonts w:cs="Arial"/>
          <w:szCs w:val="18"/>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Roya M. Hanna </w:t>
      </w:r>
      <w:r>
        <w:rPr>
          <w:rFonts w:cs="Arial"/>
          <w:szCs w:val="18"/>
        </w:rPr>
        <w:t>"</w:t>
      </w:r>
      <w:r w:rsidRPr="004F5B8A">
        <w:rPr>
          <w:rFonts w:cs="Arial"/>
          <w:szCs w:val="18"/>
        </w:rPr>
        <w:t>Right to Self-Determination in In Re Secession of Quebec</w:t>
      </w:r>
      <w:r>
        <w:rPr>
          <w:rFonts w:cs="Arial"/>
          <w:szCs w:val="18"/>
        </w:rPr>
        <w:t>"</w:t>
      </w:r>
      <w:r w:rsidRPr="004F5B8A">
        <w:rPr>
          <w:rFonts w:cs="Arial"/>
          <w:szCs w:val="18"/>
        </w:rPr>
        <w:t xml:space="preserve"> 23 </w:t>
      </w:r>
      <w:r w:rsidRPr="004F5B8A">
        <w:rPr>
          <w:rFonts w:cs="Arial"/>
          <w:i/>
          <w:szCs w:val="18"/>
        </w:rPr>
        <w:t>Md. J. Int'l L.</w:t>
      </w:r>
      <w:r w:rsidRPr="004F5B8A">
        <w:rPr>
          <w:rFonts w:cs="Arial"/>
          <w:szCs w:val="18"/>
        </w:rPr>
        <w:t xml:space="preserve"> 213, 231 (1999) (citing Derege Demissie </w:t>
      </w:r>
      <w:r>
        <w:rPr>
          <w:rFonts w:cs="Arial"/>
          <w:szCs w:val="18"/>
        </w:rPr>
        <w:t>"</w:t>
      </w:r>
      <w:r w:rsidRPr="004F5B8A">
        <w:rPr>
          <w:rFonts w:cs="Arial"/>
          <w:szCs w:val="18"/>
        </w:rPr>
        <w:t>Note, Self-Determination Including Secession vs. The Territorial Integrity of Nation-States: A Prima Facie Case for Secession</w:t>
      </w:r>
      <w:r>
        <w:rPr>
          <w:rFonts w:cs="Arial"/>
          <w:szCs w:val="18"/>
        </w:rPr>
        <w:t>"</w:t>
      </w:r>
      <w:r w:rsidRPr="004F5B8A">
        <w:rPr>
          <w:rFonts w:cs="Arial"/>
          <w:szCs w:val="18"/>
        </w:rPr>
        <w:t xml:space="preserve"> 20 </w:t>
      </w:r>
      <w:r w:rsidRPr="004F5B8A">
        <w:rPr>
          <w:rFonts w:cs="Arial"/>
          <w:i/>
          <w:szCs w:val="18"/>
        </w:rPr>
        <w:t>Suffolk Transnat’l L. Rev.</w:t>
      </w:r>
      <w:r w:rsidRPr="004F5B8A">
        <w:rPr>
          <w:rFonts w:cs="Arial"/>
          <w:szCs w:val="18"/>
        </w:rPr>
        <w:t xml:space="preserve"> 165, 172 (1996)); see also </w:t>
      </w:r>
      <w:r w:rsidRPr="004F5B8A">
        <w:rPr>
          <w:rFonts w:cs="Arial"/>
          <w:i/>
          <w:szCs w:val="18"/>
        </w:rPr>
        <w:t>Kevin Mgwanga Gunme &amp; Others v Cameroon</w:t>
      </w:r>
      <w:r w:rsidRPr="004F5B8A">
        <w:rPr>
          <w:rFonts w:cs="Arial"/>
          <w:szCs w:val="18"/>
        </w:rPr>
        <w:t xml:space="preserve"> (Decision) ACHPR No. 266/03 (27 May 2009) paras 169-180.</w:t>
      </w:r>
    </w:p>
  </w:footnote>
  <w:footnote w:id="45">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Roya M. Hanna </w:t>
      </w:r>
      <w:r>
        <w:rPr>
          <w:rFonts w:cs="Arial"/>
          <w:szCs w:val="18"/>
        </w:rPr>
        <w:t>"</w:t>
      </w:r>
      <w:r w:rsidRPr="004F5B8A">
        <w:rPr>
          <w:rFonts w:cs="Arial"/>
          <w:szCs w:val="18"/>
        </w:rPr>
        <w:t>Right to Self-Determination in In Re Secession of Quebec</w:t>
      </w:r>
      <w:r>
        <w:rPr>
          <w:rFonts w:cs="Arial"/>
          <w:szCs w:val="18"/>
        </w:rPr>
        <w:t>"</w:t>
      </w:r>
      <w:r w:rsidRPr="004F5B8A">
        <w:rPr>
          <w:rFonts w:cs="Arial"/>
          <w:szCs w:val="18"/>
        </w:rPr>
        <w:t xml:space="preserve"> 23 </w:t>
      </w:r>
      <w:r w:rsidRPr="004F5B8A">
        <w:rPr>
          <w:rFonts w:cs="Arial"/>
          <w:i/>
          <w:szCs w:val="18"/>
        </w:rPr>
        <w:t>Md. J. Int'l L.</w:t>
      </w:r>
      <w:r w:rsidRPr="004F5B8A">
        <w:rPr>
          <w:rFonts w:cs="Arial"/>
          <w:szCs w:val="18"/>
        </w:rPr>
        <w:t xml:space="preserve"> 213, 234 (1999). </w:t>
      </w:r>
    </w:p>
  </w:footnote>
  <w:footnote w:id="46">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Roya M. Hanna </w:t>
      </w:r>
      <w:r>
        <w:rPr>
          <w:rFonts w:cs="Arial"/>
          <w:szCs w:val="18"/>
        </w:rPr>
        <w:t>"</w:t>
      </w:r>
      <w:r w:rsidRPr="004F5B8A">
        <w:rPr>
          <w:rFonts w:cs="Arial"/>
          <w:szCs w:val="18"/>
        </w:rPr>
        <w:t>Right to Self-Determination in In Re Secession of Quebec</w:t>
      </w:r>
      <w:r>
        <w:rPr>
          <w:rFonts w:cs="Arial"/>
          <w:szCs w:val="18"/>
        </w:rPr>
        <w:t>"</w:t>
      </w:r>
      <w:r w:rsidRPr="004F5B8A">
        <w:rPr>
          <w:rFonts w:cs="Arial"/>
          <w:szCs w:val="18"/>
        </w:rPr>
        <w:t xml:space="preserve"> 23 </w:t>
      </w:r>
      <w:r w:rsidRPr="004F5B8A">
        <w:rPr>
          <w:rFonts w:cs="Arial"/>
          <w:i/>
          <w:szCs w:val="18"/>
        </w:rPr>
        <w:t>Md. J. Int'l L.</w:t>
      </w:r>
      <w:r w:rsidRPr="004F5B8A">
        <w:rPr>
          <w:rFonts w:cs="Arial"/>
          <w:szCs w:val="18"/>
        </w:rPr>
        <w:t xml:space="preserve"> 213, 234-235 (1999).</w:t>
      </w:r>
    </w:p>
  </w:footnote>
  <w:footnote w:id="47">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lang w:val="en-US"/>
        </w:rPr>
        <w:t>African Charter on Human and Peoples’ Rights, art 20(3).</w:t>
      </w:r>
    </w:p>
  </w:footnote>
  <w:footnote w:id="48">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Roya M. Hanna </w:t>
      </w:r>
      <w:r>
        <w:rPr>
          <w:rFonts w:cs="Arial"/>
          <w:szCs w:val="18"/>
        </w:rPr>
        <w:t>"</w:t>
      </w:r>
      <w:r w:rsidRPr="004F5B8A">
        <w:rPr>
          <w:rFonts w:cs="Arial"/>
          <w:szCs w:val="18"/>
        </w:rPr>
        <w:t>Right to Self-Determination in In Re Secession of Quebec</w:t>
      </w:r>
      <w:r>
        <w:rPr>
          <w:rFonts w:cs="Arial"/>
          <w:szCs w:val="18"/>
        </w:rPr>
        <w:t>"</w:t>
      </w:r>
      <w:r w:rsidRPr="004F5B8A">
        <w:rPr>
          <w:rFonts w:cs="Arial"/>
          <w:szCs w:val="18"/>
        </w:rPr>
        <w:t xml:space="preserve"> 23 </w:t>
      </w:r>
      <w:r w:rsidRPr="004F5B8A">
        <w:rPr>
          <w:rFonts w:cs="Arial"/>
          <w:i/>
          <w:szCs w:val="18"/>
        </w:rPr>
        <w:t>Md. J. Int'l L.</w:t>
      </w:r>
      <w:r w:rsidRPr="004F5B8A">
        <w:rPr>
          <w:rFonts w:cs="Arial"/>
          <w:szCs w:val="18"/>
        </w:rPr>
        <w:t xml:space="preserve"> 213, 239 (1999).</w:t>
      </w:r>
    </w:p>
  </w:footnote>
  <w:footnote w:id="49">
    <w:p w:rsidR="00BC5A8B" w:rsidRPr="004F5B8A" w:rsidRDefault="00BC5A8B" w:rsidP="00710F11">
      <w:pPr>
        <w:pStyle w:val="FootnoteText"/>
        <w:rPr>
          <w:rFonts w:cs="Arial"/>
          <w:szCs w:val="18"/>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i/>
          <w:szCs w:val="18"/>
        </w:rPr>
        <w:t>Kevin Mgwanga Gunme &amp; Others v Cameroon</w:t>
      </w:r>
      <w:r w:rsidRPr="004F5B8A">
        <w:rPr>
          <w:rFonts w:cs="Arial"/>
          <w:szCs w:val="18"/>
        </w:rPr>
        <w:t xml:space="preserve"> (Decision) ACHPR No. 266/03 (27 May 2009) paras 197-199.</w:t>
      </w:r>
    </w:p>
  </w:footnote>
  <w:footnote w:id="50">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t>"</w:t>
      </w:r>
      <w:r w:rsidRPr="004F5B8A">
        <w:rPr>
          <w:rFonts w:cs="Arial"/>
          <w:szCs w:val="18"/>
          <w:lang w:val="en-US"/>
        </w:rPr>
        <w:t>Contemporary challenges to IHL – Occupation, overview</w:t>
      </w:r>
      <w:r>
        <w:rPr>
          <w:rFonts w:cs="Arial"/>
          <w:szCs w:val="18"/>
          <w:lang w:val="en-US"/>
        </w:rPr>
        <w:t>"</w:t>
      </w:r>
      <w:r w:rsidRPr="004F5B8A">
        <w:rPr>
          <w:rFonts w:cs="Arial"/>
          <w:szCs w:val="18"/>
          <w:lang w:val="en-US"/>
        </w:rPr>
        <w:t xml:space="preserve"> </w:t>
      </w:r>
      <w:r w:rsidRPr="004F5B8A">
        <w:rPr>
          <w:rFonts w:cs="Arial"/>
          <w:i/>
          <w:szCs w:val="18"/>
          <w:lang w:val="en-US"/>
        </w:rPr>
        <w:t xml:space="preserve">International Committee of the Red Cross </w:t>
      </w:r>
      <w:r w:rsidRPr="004F5B8A">
        <w:rPr>
          <w:rFonts w:cs="Arial"/>
          <w:szCs w:val="18"/>
          <w:lang w:val="en-US"/>
        </w:rPr>
        <w:t xml:space="preserve">(11 June 2012) available at </w:t>
      </w:r>
      <w:hyperlink r:id="rId6" w:history="1">
        <w:r w:rsidRPr="004F5B8A">
          <w:rPr>
            <w:rStyle w:val="Hyperlink"/>
            <w:rFonts w:cs="Arial"/>
            <w:szCs w:val="18"/>
          </w:rPr>
          <w:t>https://www.icrc.org/en/document/occupation</w:t>
        </w:r>
      </w:hyperlink>
      <w:r w:rsidRPr="004F5B8A">
        <w:rPr>
          <w:rFonts w:cs="Arial"/>
          <w:szCs w:val="18"/>
          <w:lang w:val="en-US"/>
        </w:rPr>
        <w:t>, (last accessed: 22 November 2017).</w:t>
      </w:r>
    </w:p>
  </w:footnote>
  <w:footnote w:id="51">
    <w:p w:rsidR="00BC5A8B" w:rsidRPr="004F5B8A" w:rsidRDefault="00BC5A8B" w:rsidP="00710F11">
      <w:pPr>
        <w:pStyle w:val="FootnoteText"/>
        <w:rPr>
          <w:rFonts w:cs="Arial"/>
          <w:szCs w:val="18"/>
          <w:lang w:val="en-US"/>
        </w:rPr>
      </w:pPr>
      <w:r w:rsidRPr="004F5B8A">
        <w:rPr>
          <w:rStyle w:val="FootnoteReference"/>
          <w:rFonts w:cs="Arial"/>
          <w:sz w:val="18"/>
          <w:szCs w:val="18"/>
        </w:rPr>
        <w:footnoteRef/>
      </w:r>
      <w:r w:rsidRPr="004F5B8A">
        <w:rPr>
          <w:rFonts w:cs="Arial"/>
          <w:szCs w:val="18"/>
        </w:rPr>
        <w:t xml:space="preserve"> </w:t>
      </w:r>
      <w:r>
        <w:rPr>
          <w:rFonts w:cs="Arial"/>
          <w:szCs w:val="18"/>
        </w:rPr>
        <w:tab/>
      </w:r>
      <w:r w:rsidRPr="004F5B8A">
        <w:rPr>
          <w:rFonts w:cs="Arial"/>
          <w:szCs w:val="18"/>
        </w:rPr>
        <w:t xml:space="preserve">United Nations General Assembly's Definition of Aggression UN GA Resolution 3314 (XXIX) UN Doc A/RES/29/3314 (14 December 1974) available at </w:t>
      </w:r>
      <w:hyperlink r:id="rId7" w:history="1">
        <w:r w:rsidRPr="004F5B8A">
          <w:rPr>
            <w:rStyle w:val="Hyperlink"/>
            <w:rFonts w:cs="Arial"/>
            <w:szCs w:val="18"/>
          </w:rPr>
          <w:t>http://www.un-documents.net/a29r3314.htm</w:t>
        </w:r>
      </w:hyperlink>
      <w:r w:rsidRPr="004F5B8A">
        <w:rPr>
          <w:rFonts w:cs="Arial"/>
          <w:szCs w:val="18"/>
        </w:rPr>
        <w:t>, (last accessed: 22 November 2017).</w:t>
      </w:r>
    </w:p>
  </w:footnote>
  <w:footnote w:id="52">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"domination" </w:t>
      </w:r>
      <w:r w:rsidRPr="00D76D5C">
        <w:rPr>
          <w:rFonts w:cs="Arial"/>
          <w:i/>
          <w:szCs w:val="18"/>
        </w:rPr>
        <w:t>Oxford Dictionaries</w:t>
      </w:r>
      <w:r w:rsidRPr="00D76D5C">
        <w:rPr>
          <w:rFonts w:cs="Arial"/>
          <w:szCs w:val="18"/>
        </w:rPr>
        <w:t xml:space="preserve"> available at https://en.oxforddictionaries.com/definition/domination (last accessed: 22 November 2017). </w:t>
      </w:r>
    </w:p>
  </w:footnote>
  <w:footnote w:id="53">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K Hailbronner &amp; J Gagolin "Aliens" </w:t>
      </w:r>
      <w:r w:rsidRPr="00D76D5C">
        <w:rPr>
          <w:rFonts w:cs="Arial"/>
          <w:i/>
          <w:szCs w:val="18"/>
        </w:rPr>
        <w:t>Max Planck Encyclop</w:t>
      </w:r>
      <w:r>
        <w:rPr>
          <w:rFonts w:cs="Arial"/>
          <w:i/>
          <w:szCs w:val="18"/>
        </w:rPr>
        <w:t>a</w:t>
      </w:r>
      <w:r w:rsidRPr="00D76D5C">
        <w:rPr>
          <w:rFonts w:cs="Arial"/>
          <w:i/>
          <w:szCs w:val="18"/>
        </w:rPr>
        <w:t>edia of Public International Law</w:t>
      </w:r>
      <w:r w:rsidRPr="00D76D5C">
        <w:rPr>
          <w:rFonts w:cs="Arial"/>
          <w:szCs w:val="18"/>
        </w:rPr>
        <w:t xml:space="preserve"> (July 2013) available at </w:t>
      </w:r>
      <w:hyperlink r:id="rId8" w:history="1">
        <w:r w:rsidRPr="00D76D5C">
          <w:rPr>
            <w:rStyle w:val="Hyperlink"/>
            <w:rFonts w:cs="Arial"/>
            <w:szCs w:val="18"/>
          </w:rPr>
          <w:t>http://opil.ouplaw.com/view/10.1093/law:epil/9780199231690/law-9780199231690-e744</w:t>
        </w:r>
      </w:hyperlink>
      <w:r w:rsidRPr="00D76D5C">
        <w:rPr>
          <w:rFonts w:cs="Arial"/>
          <w:szCs w:val="18"/>
        </w:rPr>
        <w:t xml:space="preserve">,  (last accessed: 22 November 2017). </w:t>
      </w:r>
    </w:p>
  </w:footnote>
  <w:footnote w:id="54">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"foreign" </w:t>
      </w:r>
      <w:r w:rsidRPr="00D76D5C">
        <w:rPr>
          <w:rFonts w:cs="Arial"/>
          <w:i/>
          <w:szCs w:val="18"/>
        </w:rPr>
        <w:t>Oxford Dictionaries</w:t>
      </w:r>
      <w:r w:rsidRPr="00D76D5C">
        <w:rPr>
          <w:rFonts w:cs="Arial"/>
          <w:szCs w:val="18"/>
        </w:rPr>
        <w:t xml:space="preserve"> available at </w:t>
      </w:r>
      <w:hyperlink r:id="rId9" w:history="1">
        <w:r w:rsidRPr="00D76D5C">
          <w:rPr>
            <w:rStyle w:val="Hyperlink"/>
            <w:rFonts w:cs="Arial"/>
            <w:szCs w:val="18"/>
          </w:rPr>
          <w:t>https://en.oxforddictionaries.com/definition/foreign</w:t>
        </w:r>
      </w:hyperlink>
      <w:r w:rsidRPr="00D76D5C">
        <w:rPr>
          <w:rFonts w:cs="Arial"/>
          <w:szCs w:val="18"/>
        </w:rPr>
        <w:t xml:space="preserve">, (last accessed: 22 November 2017). </w:t>
      </w:r>
    </w:p>
  </w:footnote>
  <w:footnote w:id="55">
    <w:p w:rsidR="00BC5A8B" w:rsidRPr="00D76D5C" w:rsidRDefault="00BC5A8B" w:rsidP="00710F11">
      <w:pPr>
        <w:pStyle w:val="FootnoteText"/>
        <w:rPr>
          <w:rFonts w:cs="Arial"/>
          <w:szCs w:val="18"/>
        </w:rPr>
      </w:pPr>
      <w:r w:rsidRPr="00D76D5C">
        <w:rPr>
          <w:rStyle w:val="FootnoteReference"/>
          <w:rFonts w:cs="Arial"/>
          <w:b/>
          <w:sz w:val="18"/>
          <w:szCs w:val="18"/>
        </w:rPr>
        <w:footnoteRef/>
      </w:r>
      <w:r w:rsidRPr="00D76D5C">
        <w:rPr>
          <w:rFonts w:cs="Arial"/>
          <w:b/>
          <w:szCs w:val="18"/>
        </w:rPr>
        <w:t xml:space="preserve"> </w:t>
      </w:r>
      <w:r>
        <w:rPr>
          <w:rFonts w:cs="Arial"/>
          <w:b/>
          <w:szCs w:val="18"/>
        </w:rPr>
        <w:tab/>
      </w:r>
      <w:r w:rsidRPr="00D76D5C">
        <w:rPr>
          <w:rFonts w:cs="Arial"/>
          <w:szCs w:val="18"/>
        </w:rPr>
        <w:t>Shannonbrooke Murphy "Unique in international human rights law: Article 20(2) and the right to resist in the African Charter on Human and Peoples' Rights" 2 AHRLJ 465, 490-491 (2001).</w:t>
      </w:r>
    </w:p>
  </w:footnote>
  <w:footnote w:id="56">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Roya M. Hanna "Right to Self-Determination in In Re Secession of Quebec" 23 </w:t>
      </w:r>
      <w:r w:rsidRPr="00D76D5C">
        <w:rPr>
          <w:rFonts w:cs="Arial"/>
          <w:i/>
          <w:szCs w:val="18"/>
        </w:rPr>
        <w:t xml:space="preserve">Md. J. Int'l L. </w:t>
      </w:r>
      <w:r w:rsidRPr="00D76D5C">
        <w:rPr>
          <w:rFonts w:cs="Arial"/>
          <w:szCs w:val="18"/>
        </w:rPr>
        <w:t xml:space="preserve">213, 234-235 (1999); </w:t>
      </w:r>
      <w:r w:rsidRPr="00D76D5C">
        <w:rPr>
          <w:rFonts w:cs="Arial"/>
          <w:szCs w:val="18"/>
          <w:lang w:val="en-US"/>
        </w:rPr>
        <w:t>African Charter on Human and Peoples’ Rights, Art 20(3).</w:t>
      </w:r>
    </w:p>
  </w:footnote>
  <w:footnote w:id="57">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Roya M. Hanna "Right to Self-Determination in In Re Secession of Quebec" 23 </w:t>
      </w:r>
      <w:r w:rsidRPr="00D76D5C">
        <w:rPr>
          <w:rFonts w:cs="Arial"/>
          <w:i/>
          <w:szCs w:val="18"/>
        </w:rPr>
        <w:t xml:space="preserve">Md. J. Int'l L. </w:t>
      </w:r>
      <w:r w:rsidRPr="00D76D5C">
        <w:rPr>
          <w:rFonts w:cs="Arial"/>
          <w:szCs w:val="18"/>
        </w:rPr>
        <w:t xml:space="preserve">213, 231 (1999) (citing Derege Demissie "Note, Self-Determination Including Secession vs. The Territorial Integrity of Nation-States: A Prima Facie Case for Secession" 20 Suffolk Transnat’l L. Rev. 165, 172 (1996)); see also </w:t>
      </w:r>
      <w:r w:rsidRPr="00D76D5C">
        <w:rPr>
          <w:rFonts w:cs="Arial"/>
          <w:i/>
          <w:szCs w:val="18"/>
        </w:rPr>
        <w:t>Kevin Mgwanga Gunme &amp; Others v Cameroon</w:t>
      </w:r>
      <w:r w:rsidRPr="00D76D5C">
        <w:rPr>
          <w:rFonts w:cs="Arial"/>
          <w:szCs w:val="18"/>
        </w:rPr>
        <w:t xml:space="preserve"> (Decision) ACHPR No. 266/03 (27 May 2009) at paras 169-180.</w:t>
      </w:r>
    </w:p>
  </w:footnote>
  <w:footnote w:id="58">
    <w:p w:rsidR="00BC5A8B" w:rsidRPr="00D76D5C" w:rsidRDefault="00BC5A8B" w:rsidP="00710F11">
      <w:pPr>
        <w:pStyle w:val="FootnoteText"/>
        <w:rPr>
          <w:rFonts w:cs="Arial"/>
          <w:szCs w:val="18"/>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Shannonbrooke Murphy "Unique in international human rights law: Article 20(2) and the right to resist in the African Charter on Human and Peoples' Rights" 2 </w:t>
      </w:r>
      <w:r w:rsidRPr="00D76D5C">
        <w:rPr>
          <w:rFonts w:cs="Arial"/>
          <w:i/>
          <w:szCs w:val="18"/>
        </w:rPr>
        <w:t>AHRLJ</w:t>
      </w:r>
      <w:r w:rsidRPr="00D76D5C">
        <w:rPr>
          <w:rFonts w:cs="Arial"/>
          <w:szCs w:val="18"/>
        </w:rPr>
        <w:t> 465, 490-491 (2001)</w:t>
      </w:r>
      <w:r w:rsidRPr="00D76D5C">
        <w:rPr>
          <w:rFonts w:cs="Arial"/>
          <w:szCs w:val="18"/>
          <w:shd w:val="clear" w:color="auto" w:fill="FFFFFF"/>
        </w:rPr>
        <w:t xml:space="preserve">; </w:t>
      </w:r>
      <w:r w:rsidRPr="00D76D5C">
        <w:rPr>
          <w:rFonts w:cs="Arial"/>
          <w:i/>
          <w:iCs/>
          <w:szCs w:val="18"/>
          <w:bdr w:val="none" w:sz="0" w:space="0" w:color="auto" w:frame="1"/>
          <w:shd w:val="clear" w:color="auto" w:fill="FFFFFF"/>
        </w:rPr>
        <w:t>Katangese Peoples' Congress v Zaire </w:t>
      </w:r>
      <w:r w:rsidRPr="00D76D5C">
        <w:rPr>
          <w:rFonts w:cs="Arial"/>
          <w:szCs w:val="18"/>
          <w:shd w:val="clear" w:color="auto" w:fill="FFFFFF"/>
        </w:rPr>
        <w:t>(Decision) ACHPR No. 75/92 (22 March 1995) at para 6.</w:t>
      </w:r>
    </w:p>
  </w:footnote>
  <w:footnote w:id="59">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i/>
          <w:iCs/>
          <w:szCs w:val="18"/>
          <w:bdr w:val="none" w:sz="0" w:space="0" w:color="auto" w:frame="1"/>
          <w:shd w:val="clear" w:color="auto" w:fill="FFFFFF"/>
        </w:rPr>
        <w:t>Jawara v The Gambia </w:t>
      </w:r>
      <w:r w:rsidRPr="00D76D5C">
        <w:rPr>
          <w:rFonts w:cs="Arial"/>
          <w:szCs w:val="18"/>
          <w:shd w:val="clear" w:color="auto" w:fill="FFFFFF"/>
        </w:rPr>
        <w:t>(Decision) ACHPR No. 147/95 and 149/96 (11 May 2000) at paras 34-37, 40, and 74.</w:t>
      </w:r>
    </w:p>
  </w:footnote>
  <w:footnote w:id="60">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lang w:val="en-US"/>
        </w:rPr>
        <w:t>South Africa ratified/acceded to the Protocol on November 21, 1995.</w:t>
      </w:r>
      <w:r w:rsidRPr="00D76D5C">
        <w:rPr>
          <w:rFonts w:cs="Arial"/>
          <w:szCs w:val="18"/>
        </w:rPr>
        <w:t xml:space="preserve"> "Treaties, States Parties and Commentaries Protocol Additional to the Geneva Conventions of 12 August 1949, and relating to the Protection of Victims of Non-International Armed Conflicts (Protocol II), 8 June 1977" </w:t>
      </w:r>
      <w:r w:rsidRPr="00D76D5C">
        <w:rPr>
          <w:rFonts w:cs="Arial"/>
          <w:i/>
          <w:szCs w:val="18"/>
        </w:rPr>
        <w:t xml:space="preserve">International Committee of the Red Cross </w:t>
      </w:r>
      <w:r w:rsidRPr="00D76D5C">
        <w:rPr>
          <w:rFonts w:cs="Arial"/>
          <w:szCs w:val="18"/>
        </w:rPr>
        <w:t xml:space="preserve">available at </w:t>
      </w:r>
      <w:hyperlink r:id="rId10" w:anchor="panelRatification" w:history="1">
        <w:r w:rsidRPr="00D76D5C">
          <w:rPr>
            <w:rStyle w:val="Hyperlink"/>
            <w:rFonts w:cs="Arial"/>
            <w:szCs w:val="18"/>
          </w:rPr>
          <w:t>https://ihl-databases.icrc.org/applic/ihl/ihl.nsf/States.xsp?xp_viewStates=XPages_NORMStatesParties&amp;xp_treatySelected=475#panelRatification</w:t>
        </w:r>
      </w:hyperlink>
      <w:r w:rsidRPr="00D76D5C">
        <w:rPr>
          <w:rFonts w:cs="Arial"/>
          <w:szCs w:val="18"/>
        </w:rPr>
        <w:t xml:space="preserve">, </w:t>
      </w:r>
      <w:r w:rsidRPr="00D76D5C">
        <w:rPr>
          <w:rFonts w:cs="Arial"/>
          <w:szCs w:val="18"/>
          <w:lang w:val="en-US"/>
        </w:rPr>
        <w:t xml:space="preserve">(last accessed: 22 November 2017). Additional Protocol II is domesticated into South African law with the Implementation of the Geneva Conventions act, No. 8 of 2012. </w:t>
      </w:r>
    </w:p>
  </w:footnote>
  <w:footnote w:id="61">
    <w:p w:rsidR="00BC5A8B" w:rsidRPr="00D76D5C" w:rsidRDefault="00BC5A8B" w:rsidP="00710F11">
      <w:pPr>
        <w:pStyle w:val="FootnoteText"/>
        <w:rPr>
          <w:rFonts w:cs="Arial"/>
          <w:szCs w:val="18"/>
          <w:lang w:eastAsia="en-ZA"/>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Nigeria ratified/acceded to the Protocol on October 10, 1988. "Treaties, States Parties and Commentaries Protocol Additional to the Geneva Conventions of 12 August 1949, and relating to the Protection of Victims of Non-International Armed Conflicts (Protocol II), 8 June 1977" </w:t>
      </w:r>
      <w:r w:rsidRPr="00D76D5C">
        <w:rPr>
          <w:rFonts w:cs="Arial"/>
          <w:i/>
          <w:szCs w:val="18"/>
        </w:rPr>
        <w:t xml:space="preserve">International Committee of the Red Cross </w:t>
      </w:r>
      <w:r w:rsidRPr="00D76D5C">
        <w:rPr>
          <w:rFonts w:cs="Arial"/>
          <w:szCs w:val="18"/>
        </w:rPr>
        <w:t xml:space="preserve">available at </w:t>
      </w:r>
      <w:hyperlink r:id="rId11" w:anchor="panelRatification" w:history="1">
        <w:r w:rsidRPr="00D76D5C">
          <w:rPr>
            <w:rStyle w:val="Hyperlink"/>
            <w:rFonts w:cs="Arial"/>
            <w:szCs w:val="18"/>
            <w:lang w:val="en-US"/>
          </w:rPr>
          <w:t>https://ihl-databases.icrc.org/applic/ihl/ihl.nsf/States.xsp?xp_viewStates=XPages_NORMStatesParties&amp;xp_treatySelected=475#panelRatification</w:t>
        </w:r>
      </w:hyperlink>
      <w:r w:rsidRPr="00D76D5C">
        <w:rPr>
          <w:rFonts w:cs="Arial"/>
          <w:szCs w:val="18"/>
          <w:lang w:val="en-US"/>
        </w:rPr>
        <w:t>, (last accessed: 22 November 2017)</w:t>
      </w:r>
    </w:p>
  </w:footnote>
  <w:footnote w:id="62">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"Rule 1. The Principle of Distinction between Civilians and Combatants" </w:t>
      </w:r>
      <w:r w:rsidRPr="00D76D5C">
        <w:rPr>
          <w:rFonts w:cs="Arial"/>
          <w:i/>
          <w:szCs w:val="18"/>
        </w:rPr>
        <w:t>International Committee for the Red Cross</w:t>
      </w:r>
      <w:r w:rsidRPr="00D76D5C">
        <w:rPr>
          <w:rFonts w:cs="Arial"/>
          <w:szCs w:val="18"/>
        </w:rPr>
        <w:t xml:space="preserve"> available at </w:t>
      </w:r>
      <w:hyperlink r:id="rId12" w:history="1">
        <w:r w:rsidRPr="00D76D5C">
          <w:rPr>
            <w:rStyle w:val="Hyperlink"/>
            <w:rFonts w:cs="Arial"/>
            <w:szCs w:val="18"/>
          </w:rPr>
          <w:t>https://ihl-databases.icrc.org/customary-ihl/eng/docs/v1_cha_chapter1_rule1</w:t>
        </w:r>
      </w:hyperlink>
      <w:r w:rsidRPr="00D76D5C">
        <w:rPr>
          <w:rFonts w:cs="Arial"/>
          <w:szCs w:val="18"/>
        </w:rPr>
        <w:t xml:space="preserve">, (last accessed: 22 November 2017). </w:t>
      </w:r>
    </w:p>
  </w:footnote>
  <w:footnote w:id="63">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"Rule 1. The Principle of Distinction between Civilians and Combatants" </w:t>
      </w:r>
      <w:r w:rsidRPr="00D76D5C">
        <w:rPr>
          <w:rFonts w:cs="Arial"/>
          <w:i/>
          <w:szCs w:val="18"/>
        </w:rPr>
        <w:t>International Committee for the Red Cross</w:t>
      </w:r>
      <w:r w:rsidRPr="00D76D5C">
        <w:rPr>
          <w:rFonts w:cs="Arial"/>
          <w:szCs w:val="18"/>
        </w:rPr>
        <w:t xml:space="preserve"> available at </w:t>
      </w:r>
      <w:hyperlink r:id="rId13" w:history="1">
        <w:r w:rsidRPr="00D76D5C">
          <w:rPr>
            <w:rStyle w:val="Hyperlink"/>
            <w:rFonts w:cs="Arial"/>
            <w:szCs w:val="18"/>
          </w:rPr>
          <w:t>https://ihl-databases.icrc.org/customary-ihl/eng/docs/v1_cha_chapter1_rule1</w:t>
        </w:r>
      </w:hyperlink>
      <w:r w:rsidRPr="00D76D5C">
        <w:rPr>
          <w:rFonts w:cs="Arial"/>
          <w:szCs w:val="18"/>
        </w:rPr>
        <w:t>, (last accessed: 22 November 2017). In determining that there is customary international law that prohibits targeting civilians, the ICRC relied on authorities such as: Additional Protocol II of the Geneva Conventions; Amended Protocol II to the Convention on Certain Weapons; Protocol III to the Convention on Certain Weapons; the Ottawa Convention; the Rome Statute of the International Criminal Court; various UN resolutions and international jurisprudence (</w:t>
      </w:r>
      <w:r w:rsidRPr="00D76D5C">
        <w:rPr>
          <w:rFonts w:cs="Arial"/>
          <w:i/>
          <w:szCs w:val="18"/>
        </w:rPr>
        <w:t>Legality of the Threat or Use of Nuclear Weapons</w:t>
      </w:r>
      <w:r w:rsidRPr="00D76D5C">
        <w:rPr>
          <w:rFonts w:cs="Arial"/>
          <w:szCs w:val="18"/>
        </w:rPr>
        <w:t xml:space="preserve"> (Advisory Opinion) ICJ 1996 (8 July 1996) at paras 61, 434; </w:t>
      </w:r>
      <w:r w:rsidRPr="00D76D5C">
        <w:rPr>
          <w:rFonts w:cs="Arial"/>
          <w:i/>
          <w:szCs w:val="18"/>
        </w:rPr>
        <w:t xml:space="preserve">Prosecutor v Dusko Tadic </w:t>
      </w:r>
      <w:r w:rsidRPr="00D76D5C">
        <w:rPr>
          <w:rFonts w:cs="Arial"/>
          <w:szCs w:val="18"/>
        </w:rPr>
        <w:t xml:space="preserve">(Decision on the Defence Motion for Interlocutory Appeal on Jurisdiction) IT-94-1 (2 October 1995); </w:t>
      </w:r>
      <w:r w:rsidRPr="00D76D5C">
        <w:rPr>
          <w:rFonts w:cs="Arial"/>
          <w:i/>
          <w:szCs w:val="18"/>
        </w:rPr>
        <w:t>Prosecutor v Martić</w:t>
      </w:r>
      <w:r w:rsidRPr="00D76D5C">
        <w:rPr>
          <w:rFonts w:cs="Arial"/>
          <w:szCs w:val="18"/>
        </w:rPr>
        <w:t xml:space="preserve"> (Review of the Indictment) IT-95-11-1 (March 8, 1996) at paras 437 and 552; </w:t>
      </w:r>
      <w:r w:rsidRPr="00D76D5C">
        <w:rPr>
          <w:rFonts w:cs="Arial"/>
          <w:i/>
          <w:szCs w:val="18"/>
        </w:rPr>
        <w:t>Prosecutor v Kupreškić</w:t>
      </w:r>
      <w:r w:rsidRPr="00D76D5C">
        <w:rPr>
          <w:rFonts w:cs="Arial"/>
          <w:szCs w:val="18"/>
        </w:rPr>
        <w:t xml:space="preserve"> (Judgment) IT-95-16-T (14 January 2000) at paras 441 and 883; </w:t>
      </w:r>
      <w:r w:rsidRPr="00D76D5C">
        <w:rPr>
          <w:rFonts w:cs="Arial"/>
          <w:i/>
          <w:szCs w:val="18"/>
        </w:rPr>
        <w:t xml:space="preserve">Juan Carlos Abella v Agentina </w:t>
      </w:r>
      <w:r w:rsidRPr="00D76D5C">
        <w:rPr>
          <w:rFonts w:cs="Arial"/>
          <w:szCs w:val="18"/>
        </w:rPr>
        <w:t xml:space="preserve">Inter-American Commission on Human Rights Case No. 11.137 (18 November 1997) at paras 64, 443 and 810).  </w:t>
      </w:r>
    </w:p>
  </w:footnote>
  <w:footnote w:id="64">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lang w:val="en-US"/>
        </w:rPr>
        <w:t xml:space="preserve">Okah’s Supplementary Written Submissions at para 79. </w:t>
      </w:r>
    </w:p>
  </w:footnote>
  <w:footnote w:id="65">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"Rule 12. Definition of Indiscriminate Attacks" </w:t>
      </w:r>
      <w:r w:rsidRPr="00D76D5C">
        <w:rPr>
          <w:rFonts w:cs="Arial"/>
          <w:i/>
          <w:szCs w:val="18"/>
        </w:rPr>
        <w:t xml:space="preserve">International Committee of the Red Cross </w:t>
      </w:r>
      <w:r w:rsidRPr="00D76D5C">
        <w:rPr>
          <w:rFonts w:cs="Arial"/>
          <w:szCs w:val="18"/>
        </w:rPr>
        <w:t xml:space="preserve">available at </w:t>
      </w:r>
      <w:hyperlink r:id="rId14" w:history="1">
        <w:r w:rsidRPr="00D76D5C">
          <w:rPr>
            <w:rStyle w:val="Hyperlink"/>
            <w:rFonts w:cs="Arial"/>
            <w:szCs w:val="18"/>
          </w:rPr>
          <w:t>https://ihl-databases.icrc.org/customary-ihl/eng/docs/v1_rul_rule12</w:t>
        </w:r>
      </w:hyperlink>
      <w:r w:rsidRPr="00D76D5C">
        <w:rPr>
          <w:rFonts w:cs="Arial"/>
          <w:szCs w:val="18"/>
        </w:rPr>
        <w:t xml:space="preserve">, (last accessed: 22 November 2017) (to establish such a customary rule in international law, the ICRC relied on: Article 13(2) of Additional Protocol II; Article 3(8)(a) of Amended Protocol II to the Convention on Certain Conventional Weapons; various military manuals; </w:t>
      </w:r>
      <w:r w:rsidRPr="00D76D5C">
        <w:rPr>
          <w:rFonts w:cs="Arial"/>
          <w:i/>
          <w:szCs w:val="18"/>
        </w:rPr>
        <w:t>Legality of the Threat or Use of Nuclear Weapons</w:t>
      </w:r>
      <w:r w:rsidRPr="00D76D5C">
        <w:rPr>
          <w:rFonts w:cs="Arial"/>
          <w:szCs w:val="18"/>
        </w:rPr>
        <w:t xml:space="preserve"> (Advisory Opinion) ICJ 1996 (8 July 1996) at para 243; </w:t>
      </w:r>
      <w:r w:rsidRPr="00D76D5C">
        <w:rPr>
          <w:rFonts w:cs="Arial"/>
          <w:i/>
          <w:szCs w:val="18"/>
        </w:rPr>
        <w:t>Prosecutor v Martić</w:t>
      </w:r>
      <w:r w:rsidRPr="00D76D5C">
        <w:rPr>
          <w:rFonts w:cs="Arial"/>
          <w:szCs w:val="18"/>
        </w:rPr>
        <w:t xml:space="preserve"> (Review of the Indictment) IT-95-11-1 (March 8, 1996) at para 246). "Rule 14. Proportionality in Armed Attack" </w:t>
      </w:r>
      <w:r w:rsidRPr="00D76D5C">
        <w:rPr>
          <w:rFonts w:cs="Arial"/>
          <w:i/>
          <w:szCs w:val="18"/>
        </w:rPr>
        <w:t xml:space="preserve">International Committee of the Red Cross </w:t>
      </w:r>
      <w:r w:rsidRPr="00D76D5C">
        <w:rPr>
          <w:rFonts w:cs="Arial"/>
          <w:szCs w:val="18"/>
        </w:rPr>
        <w:t xml:space="preserve">available at </w:t>
      </w:r>
      <w:hyperlink r:id="rId15" w:history="1">
        <w:r w:rsidRPr="00D76D5C">
          <w:rPr>
            <w:rStyle w:val="Hyperlink"/>
            <w:rFonts w:cs="Arial"/>
            <w:szCs w:val="18"/>
          </w:rPr>
          <w:t>https://ihl-databases.icrc.org/customary-ihl/eng/docs/v1_cha_chapter4_rule14</w:t>
        </w:r>
      </w:hyperlink>
      <w:r w:rsidRPr="00D76D5C">
        <w:rPr>
          <w:rFonts w:cs="Arial"/>
          <w:szCs w:val="18"/>
        </w:rPr>
        <w:t xml:space="preserve">, (last accessed: 22 November 2017) (to establish such a customary rule in international law, the ICRC relied on: "the principle of humanity" in the preamble of Additional Protocol II; various military manuals and state legislation; </w:t>
      </w:r>
      <w:r w:rsidRPr="00D76D5C">
        <w:rPr>
          <w:rFonts w:cs="Arial"/>
          <w:i/>
          <w:szCs w:val="18"/>
        </w:rPr>
        <w:t xml:space="preserve">Military Junta Case </w:t>
      </w:r>
      <w:r w:rsidRPr="00D76D5C">
        <w:rPr>
          <w:rFonts w:cs="Arial"/>
          <w:szCs w:val="18"/>
        </w:rPr>
        <w:t xml:space="preserve">(Judgment of Court of Appeals) Case No. 13/84 (9 December 1985) (Argentina) at 81; </w:t>
      </w:r>
      <w:r w:rsidRPr="00D76D5C">
        <w:rPr>
          <w:rFonts w:cs="Arial"/>
          <w:i/>
          <w:szCs w:val="18"/>
        </w:rPr>
        <w:t>Prosecutor v Martić</w:t>
      </w:r>
      <w:r w:rsidRPr="00D76D5C">
        <w:rPr>
          <w:rFonts w:cs="Arial"/>
          <w:szCs w:val="18"/>
        </w:rPr>
        <w:t xml:space="preserve"> (Review of the Indictment) IT-95-11-1 (March 8, 1996) at para 139;  and </w:t>
      </w:r>
      <w:r w:rsidRPr="00D76D5C">
        <w:rPr>
          <w:rFonts w:cs="Arial"/>
          <w:i/>
          <w:szCs w:val="18"/>
        </w:rPr>
        <w:t>Prosecutor v Kupreškić</w:t>
      </w:r>
      <w:r w:rsidRPr="00D76D5C">
        <w:rPr>
          <w:rFonts w:cs="Arial"/>
          <w:szCs w:val="18"/>
        </w:rPr>
        <w:t xml:space="preserve"> (Judgment) IT-95-16-T (14 January 2000) at para 140; Inter-American Commission on Human Rights Third Report on Human Rights in Colombia OEA/Ser.L/V/II.102, (26 February 1999) at para 138). </w:t>
      </w:r>
    </w:p>
  </w:footnote>
  <w:footnote w:id="66">
    <w:p w:rsidR="00BC5A8B" w:rsidRPr="00D76D5C" w:rsidRDefault="00BC5A8B" w:rsidP="00710F11">
      <w:pPr>
        <w:pStyle w:val="FootnoteText"/>
        <w:rPr>
          <w:rFonts w:cs="Arial"/>
          <w:szCs w:val="18"/>
          <w:lang w:val="en-US"/>
        </w:rPr>
      </w:pPr>
      <w:r w:rsidRPr="00D76D5C">
        <w:rPr>
          <w:rStyle w:val="FootnoteReference"/>
          <w:rFonts w:cs="Arial"/>
          <w:sz w:val="18"/>
          <w:szCs w:val="18"/>
        </w:rPr>
        <w:footnoteRef/>
      </w:r>
      <w:r w:rsidRPr="00D76D5C">
        <w:rPr>
          <w:rFonts w:cs="Arial"/>
          <w:szCs w:val="18"/>
        </w:rPr>
        <w:t xml:space="preserve"> </w:t>
      </w:r>
      <w:r>
        <w:rPr>
          <w:rFonts w:cs="Arial"/>
          <w:szCs w:val="18"/>
        </w:rPr>
        <w:tab/>
      </w:r>
      <w:r w:rsidRPr="00D76D5C">
        <w:rPr>
          <w:rFonts w:cs="Arial"/>
          <w:szCs w:val="18"/>
        </w:rPr>
        <w:t xml:space="preserve">"Rule 12. Definition of Indiscriminate Attacks" </w:t>
      </w:r>
      <w:r w:rsidRPr="00D76D5C">
        <w:rPr>
          <w:rFonts w:cs="Arial"/>
          <w:i/>
          <w:szCs w:val="18"/>
        </w:rPr>
        <w:t xml:space="preserve">International Committee of the Red Cross </w:t>
      </w:r>
      <w:r w:rsidRPr="00D76D5C">
        <w:rPr>
          <w:rFonts w:cs="Arial"/>
          <w:szCs w:val="18"/>
        </w:rPr>
        <w:t xml:space="preserve">available at https://ihl-databases.icrc.org/customary-ihl/eng/docs/v1_rul_rule12 (last accessed: 22 November 2017). </w:t>
      </w:r>
    </w:p>
  </w:footnote>
  <w:footnote w:id="67">
    <w:p w:rsidR="00BC5A8B" w:rsidRPr="005D3994" w:rsidRDefault="00BC5A8B" w:rsidP="00710F11">
      <w:pPr>
        <w:pStyle w:val="FootnoteText"/>
        <w:rPr>
          <w:rFonts w:cs="Arial"/>
          <w:szCs w:val="18"/>
          <w:lang w:val="en-US"/>
        </w:rPr>
      </w:pPr>
      <w:r w:rsidRPr="005D3994">
        <w:rPr>
          <w:rStyle w:val="FootnoteReference"/>
          <w:rFonts w:cs="Arial"/>
          <w:sz w:val="18"/>
          <w:szCs w:val="18"/>
        </w:rPr>
        <w:footnoteRef/>
      </w:r>
      <w:r w:rsidRPr="005D3994">
        <w:rPr>
          <w:rFonts w:cs="Arial"/>
          <w:szCs w:val="18"/>
        </w:rPr>
        <w:t xml:space="preserve"> </w:t>
      </w:r>
      <w:r>
        <w:rPr>
          <w:rFonts w:cs="Arial"/>
          <w:szCs w:val="18"/>
        </w:rPr>
        <w:tab/>
      </w:r>
      <w:r w:rsidRPr="005D3994">
        <w:rPr>
          <w:rFonts w:cs="Arial"/>
          <w:szCs w:val="18"/>
        </w:rPr>
        <w:t>"Rule 14. Proportionality in Attack"</w:t>
      </w:r>
      <w:r w:rsidRPr="005D3994">
        <w:rPr>
          <w:rFonts w:cs="Arial"/>
          <w:i/>
          <w:szCs w:val="18"/>
        </w:rPr>
        <w:t xml:space="preserve"> International Committee of the Red Cross </w:t>
      </w:r>
      <w:r w:rsidRPr="005D3994">
        <w:rPr>
          <w:rFonts w:cs="Arial"/>
          <w:szCs w:val="18"/>
        </w:rPr>
        <w:t xml:space="preserve">available at </w:t>
      </w:r>
      <w:hyperlink r:id="rId16" w:history="1">
        <w:r w:rsidRPr="005D3994">
          <w:rPr>
            <w:rStyle w:val="Hyperlink"/>
            <w:rFonts w:cs="Arial"/>
            <w:szCs w:val="18"/>
          </w:rPr>
          <w:t>https://ihl-databases.icrc.org/customary-ihl/eng/docs/v1_cha_chapter4_rule14</w:t>
        </w:r>
      </w:hyperlink>
      <w:r w:rsidRPr="005D3994">
        <w:rPr>
          <w:rFonts w:cs="Arial"/>
          <w:szCs w:val="18"/>
        </w:rPr>
        <w:t xml:space="preserve">, last accessed on: 22 November 2017. </w:t>
      </w:r>
    </w:p>
  </w:footnote>
  <w:footnote w:id="68">
    <w:p w:rsidR="00BC5A8B" w:rsidRPr="005D3994" w:rsidRDefault="00BC5A8B" w:rsidP="00710F11">
      <w:pPr>
        <w:pStyle w:val="FootnoteText"/>
        <w:rPr>
          <w:rFonts w:cs="Arial"/>
          <w:lang w:val="en-US"/>
        </w:rPr>
      </w:pPr>
      <w:r w:rsidRPr="005D3994">
        <w:rPr>
          <w:rStyle w:val="FootnoteReference"/>
          <w:rFonts w:cs="Arial"/>
        </w:rPr>
        <w:footnoteRef/>
      </w:r>
      <w:r w:rsidRPr="005D3994">
        <w:rPr>
          <w:rFonts w:cs="Arial"/>
        </w:rPr>
        <w:t xml:space="preserve"> </w:t>
      </w:r>
      <w:r>
        <w:rPr>
          <w:rFonts w:cs="Arial"/>
        </w:rPr>
        <w:tab/>
      </w:r>
      <w:r w:rsidRPr="005D3994">
        <w:rPr>
          <w:rFonts w:cs="Arial"/>
          <w:i/>
        </w:rPr>
        <w:t>S v. Okah</w:t>
      </w:r>
      <w:r w:rsidRPr="005D3994">
        <w:rPr>
          <w:rFonts w:cs="Arial"/>
        </w:rPr>
        <w:t xml:space="preserve"> 2015 (2) SACR 561 (GJ) at paras 52-53. </w:t>
      </w:r>
    </w:p>
  </w:footnote>
  <w:footnote w:id="69">
    <w:p w:rsidR="00BC5A8B" w:rsidRPr="005D3994" w:rsidRDefault="00BC5A8B" w:rsidP="00710F11">
      <w:pPr>
        <w:pStyle w:val="FootnoteText"/>
        <w:rPr>
          <w:rFonts w:cs="Arial"/>
          <w:lang w:val="en-US"/>
        </w:rPr>
      </w:pPr>
      <w:r w:rsidRPr="005D3994">
        <w:rPr>
          <w:rStyle w:val="FootnoteReference"/>
          <w:rFonts w:cs="Arial"/>
        </w:rPr>
        <w:footnoteRef/>
      </w:r>
      <w:r w:rsidRPr="005D3994">
        <w:rPr>
          <w:rFonts w:cs="Arial"/>
        </w:rPr>
        <w:t xml:space="preserve"> </w:t>
      </w:r>
      <w:r>
        <w:rPr>
          <w:rFonts w:cs="Arial"/>
        </w:rPr>
        <w:tab/>
      </w:r>
      <w:r w:rsidRPr="005D3994">
        <w:rPr>
          <w:rFonts w:cs="Arial"/>
          <w:i/>
        </w:rPr>
        <w:t>S v. Okah</w:t>
      </w:r>
      <w:r w:rsidRPr="005D3994">
        <w:rPr>
          <w:rFonts w:cs="Arial"/>
        </w:rPr>
        <w:t xml:space="preserve"> 2015 (2) SACR 561 (GJ) at, para 59. </w:t>
      </w:r>
    </w:p>
  </w:footnote>
  <w:footnote w:id="70">
    <w:p w:rsidR="00BC5A8B" w:rsidRPr="005D3994" w:rsidRDefault="00BC5A8B" w:rsidP="00710F11">
      <w:pPr>
        <w:pStyle w:val="FootnoteText"/>
        <w:rPr>
          <w:rFonts w:cs="Arial"/>
          <w:lang w:val="en-US"/>
        </w:rPr>
      </w:pPr>
      <w:r w:rsidRPr="005D3994">
        <w:rPr>
          <w:rStyle w:val="FootnoteReference"/>
          <w:rFonts w:cs="Arial"/>
        </w:rPr>
        <w:footnoteRef/>
      </w:r>
      <w:r w:rsidRPr="005D3994">
        <w:rPr>
          <w:rFonts w:cs="Arial"/>
        </w:rPr>
        <w:t xml:space="preserve"> </w:t>
      </w:r>
      <w:r>
        <w:rPr>
          <w:rFonts w:cs="Arial"/>
        </w:rPr>
        <w:tab/>
      </w:r>
      <w:r w:rsidRPr="005D3994">
        <w:rPr>
          <w:rFonts w:cs="Arial"/>
        </w:rPr>
        <w:t>The High Court stated in regard to the Abuja bombing that "</w:t>
      </w:r>
      <w:r w:rsidRPr="005D3994">
        <w:rPr>
          <w:rFonts w:cs="Arial"/>
          <w:shd w:val="clear" w:color="auto" w:fill="FFFFFF"/>
        </w:rPr>
        <w:t xml:space="preserve">Due to the visible presence of State security officials, the vehicles were parked on the main public road in proximity to Eagle Square where public vehicles were parked and persons using public transport were being dropped off to attend the celebrations." </w:t>
      </w:r>
      <w:r w:rsidRPr="005D3994">
        <w:rPr>
          <w:rFonts w:cs="Arial"/>
          <w:i/>
        </w:rPr>
        <w:t>S v. Okah</w:t>
      </w:r>
      <w:r w:rsidRPr="005D3994">
        <w:rPr>
          <w:rFonts w:cs="Arial"/>
        </w:rPr>
        <w:t xml:space="preserve"> 2015 (2) SACR 561 (GJ) at para 59. In regard to the Warri bombing, the High Court found that "due to the visible presence of State security officials they parked the vehicles in the public road in front of Government House Annex." </w:t>
      </w:r>
      <w:r w:rsidRPr="005D3994">
        <w:rPr>
          <w:rFonts w:cs="Arial"/>
          <w:i/>
        </w:rPr>
        <w:t>S v. Okah</w:t>
      </w:r>
      <w:r w:rsidRPr="005D3994">
        <w:rPr>
          <w:rFonts w:cs="Arial"/>
        </w:rPr>
        <w:t xml:space="preserve"> 2015 (2) SACR 561 (GJ) at para 52. </w:t>
      </w:r>
    </w:p>
  </w:footnote>
  <w:footnote w:id="71">
    <w:p w:rsidR="00BC5A8B" w:rsidRPr="005D3994" w:rsidRDefault="00BC5A8B" w:rsidP="00710F11">
      <w:pPr>
        <w:pStyle w:val="FootnoteText"/>
        <w:rPr>
          <w:rFonts w:cs="Arial"/>
          <w:szCs w:val="18"/>
          <w:lang w:val="en-US"/>
        </w:rPr>
      </w:pPr>
      <w:r w:rsidRPr="005D3994">
        <w:rPr>
          <w:rStyle w:val="FootnoteReference"/>
          <w:rFonts w:cs="Arial"/>
          <w:sz w:val="18"/>
          <w:szCs w:val="18"/>
        </w:rPr>
        <w:footnoteRef/>
      </w:r>
      <w:r w:rsidRPr="005D3994">
        <w:rPr>
          <w:rFonts w:cs="Arial"/>
          <w:szCs w:val="18"/>
        </w:rPr>
        <w:t xml:space="preserve"> </w:t>
      </w:r>
      <w:r>
        <w:rPr>
          <w:rFonts w:cs="Arial"/>
          <w:szCs w:val="18"/>
        </w:rPr>
        <w:tab/>
      </w:r>
      <w:r w:rsidRPr="005D3994">
        <w:rPr>
          <w:rFonts w:cs="Arial"/>
          <w:i/>
          <w:szCs w:val="18"/>
        </w:rPr>
        <w:t xml:space="preserve">Okah v. </w:t>
      </w:r>
      <w:r w:rsidRPr="005D3994">
        <w:rPr>
          <w:rFonts w:cs="Arial"/>
          <w:szCs w:val="18"/>
        </w:rPr>
        <w:t>S (19/2014) [2016] SASCA 155 (3 October 2016) at</w:t>
      </w:r>
      <w:r w:rsidRPr="005D3994">
        <w:rPr>
          <w:rFonts w:cs="Arial"/>
          <w:szCs w:val="18"/>
          <w:lang w:val="en-US"/>
        </w:rPr>
        <w:t xml:space="preserve"> para 14. </w:t>
      </w:r>
    </w:p>
  </w:footnote>
  <w:footnote w:id="72">
    <w:p w:rsidR="00BC5A8B" w:rsidRPr="00710F11" w:rsidRDefault="00BC5A8B" w:rsidP="00710F11">
      <w:pPr>
        <w:pStyle w:val="FootnoteText"/>
        <w:rPr>
          <w:lang w:val="en-US"/>
        </w:rPr>
      </w:pPr>
      <w:r>
        <w:rPr>
          <w:rStyle w:val="FootnoteReference"/>
        </w:rPr>
        <w:footnoteRef/>
      </w:r>
      <w:r>
        <w:t xml:space="preserve"> </w:t>
      </w:r>
      <w:r>
        <w:rPr>
          <w:lang w:val="en-US"/>
        </w:rPr>
        <w:tab/>
      </w:r>
      <w:r w:rsidRPr="006B515F">
        <w:rPr>
          <w:lang w:val="en-US"/>
        </w:rPr>
        <w:t>Investigating Directorate: Serious Economic Offences and Others v Hyundai Motor Distributors (Pty) Ltd and</w:t>
      </w:r>
      <w:r>
        <w:rPr>
          <w:lang w:val="en-US"/>
        </w:rPr>
        <w:t xml:space="preserve"> </w:t>
      </w:r>
      <w:r w:rsidRPr="006B515F">
        <w:rPr>
          <w:lang w:val="en-US"/>
        </w:rPr>
        <w:t>Others: In re Hyundai Motor Distributors (Pty) Ltd and Others v Smit NO and Others [2000] ZACC 12; 2001</w:t>
      </w:r>
      <w:r>
        <w:rPr>
          <w:lang w:val="en-US"/>
        </w:rPr>
        <w:t xml:space="preserve"> </w:t>
      </w:r>
      <w:r w:rsidRPr="006B515F">
        <w:rPr>
          <w:lang w:val="en-US"/>
        </w:rPr>
        <w:t>(1) SA 545 (CC); 2000 (10) BCLR 1079 (CC) at para 23.</w:t>
      </w:r>
    </w:p>
  </w:footnote>
  <w:footnote w:id="73">
    <w:p w:rsidR="00BC5A8B" w:rsidRPr="005D3994" w:rsidRDefault="00BC5A8B" w:rsidP="00710F11">
      <w:pPr>
        <w:pStyle w:val="FootnoteText"/>
        <w:rPr>
          <w:rFonts w:cs="Arial"/>
          <w:szCs w:val="18"/>
          <w:lang w:val="en-US"/>
        </w:rPr>
      </w:pPr>
      <w:r w:rsidRPr="005D3994">
        <w:rPr>
          <w:rStyle w:val="FootnoteReference"/>
          <w:rFonts w:cs="Arial"/>
          <w:sz w:val="18"/>
          <w:szCs w:val="18"/>
        </w:rPr>
        <w:footnoteRef/>
      </w:r>
      <w:r w:rsidRPr="005D3994">
        <w:rPr>
          <w:rFonts w:cs="Arial"/>
          <w:szCs w:val="18"/>
        </w:rPr>
        <w:t xml:space="preserve"> </w:t>
      </w:r>
      <w:r>
        <w:rPr>
          <w:rFonts w:cs="Arial"/>
          <w:szCs w:val="18"/>
        </w:rPr>
        <w:tab/>
      </w:r>
      <w:r w:rsidRPr="005D3994">
        <w:rPr>
          <w:rFonts w:cs="Arial"/>
          <w:szCs w:val="18"/>
        </w:rPr>
        <w:t>(864/2010) [2011] ZASCA 196.</w:t>
      </w:r>
    </w:p>
  </w:footnote>
  <w:footnote w:id="74">
    <w:p w:rsidR="00BC5A8B" w:rsidRPr="005D3994" w:rsidRDefault="00BC5A8B" w:rsidP="00710F11">
      <w:pPr>
        <w:pStyle w:val="FootnoteText"/>
        <w:rPr>
          <w:rFonts w:cs="Arial"/>
          <w:szCs w:val="18"/>
          <w:lang w:val="en-US"/>
        </w:rPr>
      </w:pPr>
      <w:r w:rsidRPr="005D3994">
        <w:rPr>
          <w:rStyle w:val="FootnoteReference"/>
          <w:rFonts w:cs="Arial"/>
          <w:sz w:val="18"/>
          <w:szCs w:val="18"/>
        </w:rPr>
        <w:footnoteRef/>
      </w:r>
      <w:r w:rsidRPr="005D3994">
        <w:rPr>
          <w:rFonts w:cs="Arial"/>
          <w:szCs w:val="18"/>
        </w:rPr>
        <w:t xml:space="preserve"> </w:t>
      </w:r>
      <w:r>
        <w:rPr>
          <w:rFonts w:cs="Arial"/>
          <w:szCs w:val="18"/>
        </w:rPr>
        <w:tab/>
      </w:r>
      <w:r w:rsidRPr="005D3994">
        <w:rPr>
          <w:rFonts w:cs="Arial"/>
          <w:i/>
          <w:szCs w:val="18"/>
        </w:rPr>
        <w:t>S v Bogaards</w:t>
      </w:r>
      <w:r w:rsidRPr="005D3994">
        <w:rPr>
          <w:rFonts w:cs="Arial"/>
          <w:szCs w:val="18"/>
        </w:rPr>
        <w:t xml:space="preserve"> (864/2010) [2011] ZASCA 196 at para 4.</w:t>
      </w:r>
    </w:p>
  </w:footnote>
  <w:footnote w:id="75">
    <w:p w:rsidR="00BC5A8B" w:rsidRPr="005D3994" w:rsidRDefault="00BC5A8B" w:rsidP="00710F11">
      <w:pPr>
        <w:pStyle w:val="FootnoteText"/>
        <w:rPr>
          <w:rFonts w:cs="Arial"/>
          <w:szCs w:val="18"/>
          <w:lang w:val="en-US"/>
        </w:rPr>
      </w:pPr>
      <w:r w:rsidRPr="005D3994">
        <w:rPr>
          <w:rStyle w:val="FootnoteReference"/>
          <w:rFonts w:cs="Arial"/>
          <w:sz w:val="18"/>
          <w:szCs w:val="18"/>
        </w:rPr>
        <w:footnoteRef/>
      </w:r>
      <w:r w:rsidRPr="005D3994">
        <w:rPr>
          <w:rFonts w:cs="Arial"/>
          <w:szCs w:val="18"/>
        </w:rPr>
        <w:t xml:space="preserve"> </w:t>
      </w:r>
      <w:r>
        <w:rPr>
          <w:rFonts w:cs="Arial"/>
          <w:szCs w:val="18"/>
        </w:rPr>
        <w:tab/>
      </w:r>
      <w:r w:rsidRPr="005D3994">
        <w:rPr>
          <w:rFonts w:cs="Arial"/>
          <w:i/>
          <w:szCs w:val="18"/>
        </w:rPr>
        <w:t>S v Bogaards</w:t>
      </w:r>
      <w:r w:rsidRPr="005D3994">
        <w:rPr>
          <w:rFonts w:cs="Arial"/>
          <w:szCs w:val="18"/>
        </w:rPr>
        <w:t xml:space="preserve"> (864/2010) [2011] ZASCA 196 at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8B" w:rsidRDefault="00BC5A8B" w:rsidP="00847BAA">
    <w:pPr>
      <w:pStyle w:val="Header"/>
      <w:tabs>
        <w:tab w:val="clear" w:pos="4253"/>
      </w:tabs>
    </w:pPr>
    <w:r w:rsidRPr="002A15CB">
      <w:rPr>
        <w:rStyle w:val="Filename"/>
      </w:rPr>
      <w:fldChar w:fldCharType="begin"/>
    </w:r>
    <w:r w:rsidRPr="002A15CB">
      <w:rPr>
        <w:rStyle w:val="Filename"/>
      </w:rPr>
      <w:instrText xml:space="preserve"> FILENAME </w:instrText>
    </w:r>
    <w:r w:rsidRPr="002A15CB">
      <w:rPr>
        <w:rStyle w:val="Filename"/>
      </w:rPr>
      <w:fldChar w:fldCharType="separate"/>
    </w:r>
    <w:r>
      <w:rPr>
        <w:rStyle w:val="Filename"/>
        <w:noProof/>
      </w:rPr>
      <w:t>12070138_1</w:t>
    </w:r>
    <w:r w:rsidRPr="002A15CB">
      <w:rPr>
        <w:rStyle w:val="Filename"/>
      </w:rPr>
      <w:fldChar w:fldCharType="end"/>
    </w:r>
    <w:r>
      <w:tab/>
    </w:r>
    <w:r>
      <w:rPr>
        <w:rStyle w:val="PageNumber"/>
      </w:rPr>
      <w:fldChar w:fldCharType="begin"/>
    </w:r>
    <w:r>
      <w:rPr>
        <w:rStyle w:val="PageNumber"/>
      </w:rPr>
      <w:instrText xml:space="preserve"> PAGE </w:instrText>
    </w:r>
    <w:r>
      <w:rPr>
        <w:rStyle w:val="PageNumber"/>
      </w:rPr>
      <w:fldChar w:fldCharType="separate"/>
    </w:r>
    <w:r w:rsidR="00CD7579">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8B" w:rsidRPr="002A15CB" w:rsidRDefault="00BC5A8B" w:rsidP="00CF1957">
    <w:pPr>
      <w:pStyle w:val="Header"/>
      <w:rPr>
        <w:rStyle w:val="Filename"/>
      </w:rPr>
    </w:pPr>
    <w:r w:rsidRPr="002A15CB">
      <w:rPr>
        <w:rStyle w:val="Filename"/>
      </w:rPr>
      <w:fldChar w:fldCharType="begin"/>
    </w:r>
    <w:r w:rsidRPr="002A15CB">
      <w:rPr>
        <w:rStyle w:val="Filename"/>
      </w:rPr>
      <w:instrText xml:space="preserve"> FILENAME </w:instrText>
    </w:r>
    <w:r w:rsidRPr="002A15CB">
      <w:rPr>
        <w:rStyle w:val="Filename"/>
      </w:rPr>
      <w:fldChar w:fldCharType="separate"/>
    </w:r>
    <w:r>
      <w:rPr>
        <w:rStyle w:val="Filename"/>
        <w:noProof/>
      </w:rPr>
      <w:t>12070138_1</w:t>
    </w:r>
    <w:r w:rsidRPr="002A15CB">
      <w:rPr>
        <w:rStyle w:val="Filenam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FAA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1CCA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C88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0E8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45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76C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1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04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AE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7470"/>
    <w:multiLevelType w:val="hybridMultilevel"/>
    <w:tmpl w:val="53AEBC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A724831"/>
    <w:multiLevelType w:val="multilevel"/>
    <w:tmpl w:val="8516178C"/>
    <w:lvl w:ilvl="0">
      <w:start w:val="1"/>
      <w:numFmt w:val="decimal"/>
      <w:lvlText w:val="%1."/>
      <w:lvlJc w:val="left"/>
      <w:pPr>
        <w:tabs>
          <w:tab w:val="num" w:pos="454"/>
        </w:tabs>
        <w:ind w:left="454" w:hanging="454"/>
      </w:pPr>
      <w:rPr>
        <w:rFonts w:ascii="Arial" w:hAnsi="Arial" w:hint="default"/>
        <w:b w:val="0"/>
        <w:i w:val="0"/>
        <w:sz w:val="22"/>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15"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A4964C0"/>
    <w:multiLevelType w:val="hybridMultilevel"/>
    <w:tmpl w:val="4E58111E"/>
    <w:lvl w:ilvl="0" w:tplc="83F60A60">
      <w:start w:val="8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C1C6F9A"/>
    <w:multiLevelType w:val="hybridMultilevel"/>
    <w:tmpl w:val="7A18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53F96"/>
    <w:multiLevelType w:val="hybridMultilevel"/>
    <w:tmpl w:val="9790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606B0"/>
    <w:multiLevelType w:val="hybridMultilevel"/>
    <w:tmpl w:val="9790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07797"/>
    <w:multiLevelType w:val="hybridMultilevel"/>
    <w:tmpl w:val="7DD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F00BB"/>
    <w:multiLevelType w:val="hybridMultilevel"/>
    <w:tmpl w:val="28C2EE3A"/>
    <w:lvl w:ilvl="0" w:tplc="E36A1E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9687C"/>
    <w:multiLevelType w:val="hybridMultilevel"/>
    <w:tmpl w:val="6C0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96816"/>
    <w:multiLevelType w:val="hybridMultilevel"/>
    <w:tmpl w:val="D010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B1789"/>
    <w:multiLevelType w:val="multilevel"/>
    <w:tmpl w:val="055AC6CE"/>
    <w:lvl w:ilvl="0">
      <w:start w:val="1"/>
      <w:numFmt w:val="decimal"/>
      <w:pStyle w:val="WWHeading1"/>
      <w:lvlText w:val="%1."/>
      <w:lvlJc w:val="left"/>
      <w:pPr>
        <w:tabs>
          <w:tab w:val="num" w:pos="709"/>
        </w:tabs>
        <w:ind w:left="709"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BD03CDE"/>
    <w:multiLevelType w:val="multilevel"/>
    <w:tmpl w:val="C630A576"/>
    <w:lvl w:ilvl="0">
      <w:start w:val="1"/>
      <w:numFmt w:val="decimal"/>
      <w:lvlText w:val="%1"/>
      <w:lvlJc w:val="left"/>
      <w:pPr>
        <w:ind w:left="360"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6"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35E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611C8C"/>
    <w:multiLevelType w:val="hybridMultilevel"/>
    <w:tmpl w:val="2D28ACAC"/>
    <w:lvl w:ilvl="0" w:tplc="E2C8D640">
      <w:start w:val="1"/>
      <w:numFmt w:val="decimal"/>
      <w:lvlText w:val="%1."/>
      <w:lvlJc w:val="left"/>
      <w:pPr>
        <w:ind w:left="450" w:hanging="360"/>
      </w:pPr>
      <w:rPr>
        <w:rFonts w:ascii="Times New Roman" w:hAnsi="Times New Roman" w:cs="Times New Roman" w:hint="default"/>
        <w:sz w:val="24"/>
        <w:szCs w:val="24"/>
      </w:rPr>
    </w:lvl>
    <w:lvl w:ilvl="1" w:tplc="1C090019">
      <w:start w:val="1"/>
      <w:numFmt w:val="lowerLetter"/>
      <w:lvlText w:val="%2."/>
      <w:lvlJc w:val="left"/>
      <w:pPr>
        <w:ind w:left="1080" w:hanging="360"/>
      </w:pPr>
    </w:lvl>
    <w:lvl w:ilvl="2" w:tplc="045EE364">
      <w:start w:val="1"/>
      <w:numFmt w:val="lowerRoman"/>
      <w:lvlText w:val="%3."/>
      <w:lvlJc w:val="left"/>
      <w:pPr>
        <w:ind w:left="2340" w:hanging="720"/>
      </w:pPr>
      <w:rPr>
        <w:rFonts w:hint="default"/>
      </w:rPr>
    </w:lvl>
    <w:lvl w:ilvl="3" w:tplc="D1703F8E">
      <w:start w:val="1"/>
      <w:numFmt w:val="lowerLetter"/>
      <w:lvlText w:val="(%4)"/>
      <w:lvlJc w:val="left"/>
      <w:pPr>
        <w:ind w:left="2520" w:hanging="360"/>
      </w:pPr>
      <w:rPr>
        <w:rFonts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5"/>
  </w:num>
  <w:num w:numId="3">
    <w:abstractNumId w:val="9"/>
  </w:num>
  <w:num w:numId="4">
    <w:abstractNumId w:val="11"/>
  </w:num>
  <w:num w:numId="5">
    <w:abstractNumId w:val="24"/>
  </w:num>
  <w:num w:numId="6">
    <w:abstractNumId w:val="13"/>
  </w:num>
  <w:num w:numId="7">
    <w:abstractNumId w:val="2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num>
  <w:num w:numId="19">
    <w:abstractNumId w:val="14"/>
  </w:num>
  <w:num w:numId="20">
    <w:abstractNumId w:val="19"/>
  </w:num>
  <w:num w:numId="21">
    <w:abstractNumId w:val="18"/>
  </w:num>
  <w:num w:numId="22">
    <w:abstractNumId w:val="22"/>
  </w:num>
  <w:num w:numId="23">
    <w:abstractNumId w:val="20"/>
  </w:num>
  <w:num w:numId="24">
    <w:abstractNumId w:val="17"/>
  </w:num>
  <w:num w:numId="25">
    <w:abstractNumId w:val="2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28"/>
  </w:num>
  <w:num w:numId="34">
    <w:abstractNumId w:val="25"/>
  </w:num>
  <w:num w:numId="35">
    <w:abstractNumId w:val="1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ttachedTemplate r:id="rId1"/>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defaultTabStop w:val="567"/>
  <w:characterSpacingControl w:val="doNotCompress"/>
  <w:saveInvalidXml/>
  <w:hdrShapeDefaults>
    <o:shapedefaults v:ext="edit" spidmax="6145"/>
  </w:hdrShapeDefaults>
  <w:footnotePr>
    <w:footnote w:id="-1"/>
    <w:footnote w:id="0"/>
    <w:footnote w:id="1"/>
  </w:footnotePr>
  <w:endnotePr>
    <w:pos w:val="sectEnd"/>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B0"/>
    <w:rsid w:val="00000849"/>
    <w:rsid w:val="00000A32"/>
    <w:rsid w:val="00000B93"/>
    <w:rsid w:val="00001586"/>
    <w:rsid w:val="00001BDD"/>
    <w:rsid w:val="0000284A"/>
    <w:rsid w:val="00003222"/>
    <w:rsid w:val="000036AE"/>
    <w:rsid w:val="00003EF0"/>
    <w:rsid w:val="000041AF"/>
    <w:rsid w:val="000044E5"/>
    <w:rsid w:val="0000468B"/>
    <w:rsid w:val="0000494B"/>
    <w:rsid w:val="00004B31"/>
    <w:rsid w:val="000054EA"/>
    <w:rsid w:val="00006480"/>
    <w:rsid w:val="00006899"/>
    <w:rsid w:val="00010CBA"/>
    <w:rsid w:val="00011961"/>
    <w:rsid w:val="00011A21"/>
    <w:rsid w:val="00011C4B"/>
    <w:rsid w:val="0001273C"/>
    <w:rsid w:val="00012A0E"/>
    <w:rsid w:val="00012AEA"/>
    <w:rsid w:val="00012BD6"/>
    <w:rsid w:val="00014682"/>
    <w:rsid w:val="00014ED5"/>
    <w:rsid w:val="00015F7A"/>
    <w:rsid w:val="0001600F"/>
    <w:rsid w:val="000166D2"/>
    <w:rsid w:val="000169E3"/>
    <w:rsid w:val="00021C78"/>
    <w:rsid w:val="0002201A"/>
    <w:rsid w:val="00024550"/>
    <w:rsid w:val="0002475D"/>
    <w:rsid w:val="00025735"/>
    <w:rsid w:val="000268F6"/>
    <w:rsid w:val="00026A15"/>
    <w:rsid w:val="00026A95"/>
    <w:rsid w:val="00026BB6"/>
    <w:rsid w:val="00026C53"/>
    <w:rsid w:val="00027479"/>
    <w:rsid w:val="000274C7"/>
    <w:rsid w:val="00027EF9"/>
    <w:rsid w:val="000304E2"/>
    <w:rsid w:val="000309BB"/>
    <w:rsid w:val="000317FE"/>
    <w:rsid w:val="00031AAC"/>
    <w:rsid w:val="00032883"/>
    <w:rsid w:val="000331DE"/>
    <w:rsid w:val="000334A1"/>
    <w:rsid w:val="000343B2"/>
    <w:rsid w:val="00035524"/>
    <w:rsid w:val="00035644"/>
    <w:rsid w:val="00035C4A"/>
    <w:rsid w:val="0003641A"/>
    <w:rsid w:val="0003694E"/>
    <w:rsid w:val="00036DF0"/>
    <w:rsid w:val="0003706E"/>
    <w:rsid w:val="00037254"/>
    <w:rsid w:val="00037943"/>
    <w:rsid w:val="000379CC"/>
    <w:rsid w:val="00040329"/>
    <w:rsid w:val="00040CF6"/>
    <w:rsid w:val="0004119D"/>
    <w:rsid w:val="00041A7B"/>
    <w:rsid w:val="00042176"/>
    <w:rsid w:val="00043CDC"/>
    <w:rsid w:val="00043D4A"/>
    <w:rsid w:val="00043EC3"/>
    <w:rsid w:val="00044963"/>
    <w:rsid w:val="00045356"/>
    <w:rsid w:val="0004542C"/>
    <w:rsid w:val="00047244"/>
    <w:rsid w:val="00050301"/>
    <w:rsid w:val="000504D7"/>
    <w:rsid w:val="00051970"/>
    <w:rsid w:val="00052B49"/>
    <w:rsid w:val="00052D2B"/>
    <w:rsid w:val="00052F8D"/>
    <w:rsid w:val="00053434"/>
    <w:rsid w:val="0005366C"/>
    <w:rsid w:val="0005372A"/>
    <w:rsid w:val="000537D1"/>
    <w:rsid w:val="00053B9A"/>
    <w:rsid w:val="000545F7"/>
    <w:rsid w:val="0005510D"/>
    <w:rsid w:val="000553A0"/>
    <w:rsid w:val="000554D9"/>
    <w:rsid w:val="000555F2"/>
    <w:rsid w:val="0005641B"/>
    <w:rsid w:val="000564CD"/>
    <w:rsid w:val="00056ABC"/>
    <w:rsid w:val="0005758B"/>
    <w:rsid w:val="00057EBE"/>
    <w:rsid w:val="000619B2"/>
    <w:rsid w:val="00062E2E"/>
    <w:rsid w:val="00063C0E"/>
    <w:rsid w:val="00063E3E"/>
    <w:rsid w:val="0006434A"/>
    <w:rsid w:val="00064830"/>
    <w:rsid w:val="00064A13"/>
    <w:rsid w:val="00064D6A"/>
    <w:rsid w:val="00065384"/>
    <w:rsid w:val="00066A25"/>
    <w:rsid w:val="00067174"/>
    <w:rsid w:val="00067210"/>
    <w:rsid w:val="0006782C"/>
    <w:rsid w:val="00067E7C"/>
    <w:rsid w:val="000702A4"/>
    <w:rsid w:val="000704E4"/>
    <w:rsid w:val="00070A2A"/>
    <w:rsid w:val="000714BA"/>
    <w:rsid w:val="00071501"/>
    <w:rsid w:val="00071A38"/>
    <w:rsid w:val="00072B55"/>
    <w:rsid w:val="0007467D"/>
    <w:rsid w:val="000747B5"/>
    <w:rsid w:val="0007568E"/>
    <w:rsid w:val="00075AD3"/>
    <w:rsid w:val="00075D5D"/>
    <w:rsid w:val="000765D8"/>
    <w:rsid w:val="00077EF9"/>
    <w:rsid w:val="00080908"/>
    <w:rsid w:val="00080AF4"/>
    <w:rsid w:val="00082699"/>
    <w:rsid w:val="000829C7"/>
    <w:rsid w:val="00082A78"/>
    <w:rsid w:val="00082DF1"/>
    <w:rsid w:val="00083EBD"/>
    <w:rsid w:val="00084EA5"/>
    <w:rsid w:val="00085260"/>
    <w:rsid w:val="0008705F"/>
    <w:rsid w:val="000876FF"/>
    <w:rsid w:val="000909A5"/>
    <w:rsid w:val="00090E2C"/>
    <w:rsid w:val="00091333"/>
    <w:rsid w:val="00091C4A"/>
    <w:rsid w:val="0009219B"/>
    <w:rsid w:val="0009227A"/>
    <w:rsid w:val="00092D18"/>
    <w:rsid w:val="00093263"/>
    <w:rsid w:val="00093CD8"/>
    <w:rsid w:val="000948CF"/>
    <w:rsid w:val="00095546"/>
    <w:rsid w:val="00095BB0"/>
    <w:rsid w:val="00096350"/>
    <w:rsid w:val="00096E45"/>
    <w:rsid w:val="00097076"/>
    <w:rsid w:val="0009718F"/>
    <w:rsid w:val="00097E5D"/>
    <w:rsid w:val="000A058C"/>
    <w:rsid w:val="000A1509"/>
    <w:rsid w:val="000A26CF"/>
    <w:rsid w:val="000A2B55"/>
    <w:rsid w:val="000A3A24"/>
    <w:rsid w:val="000A4AED"/>
    <w:rsid w:val="000A4DDC"/>
    <w:rsid w:val="000A4F52"/>
    <w:rsid w:val="000A54B6"/>
    <w:rsid w:val="000A58FF"/>
    <w:rsid w:val="000A6958"/>
    <w:rsid w:val="000A6D43"/>
    <w:rsid w:val="000A7703"/>
    <w:rsid w:val="000A770F"/>
    <w:rsid w:val="000B053A"/>
    <w:rsid w:val="000B07F8"/>
    <w:rsid w:val="000B0F7E"/>
    <w:rsid w:val="000B1000"/>
    <w:rsid w:val="000B167D"/>
    <w:rsid w:val="000B33D4"/>
    <w:rsid w:val="000B38DA"/>
    <w:rsid w:val="000B39FD"/>
    <w:rsid w:val="000B3B6E"/>
    <w:rsid w:val="000B3F6D"/>
    <w:rsid w:val="000B47A5"/>
    <w:rsid w:val="000B48D5"/>
    <w:rsid w:val="000B545F"/>
    <w:rsid w:val="000B58F5"/>
    <w:rsid w:val="000B6BAB"/>
    <w:rsid w:val="000B6FE8"/>
    <w:rsid w:val="000B7DA3"/>
    <w:rsid w:val="000C055B"/>
    <w:rsid w:val="000C1590"/>
    <w:rsid w:val="000C2444"/>
    <w:rsid w:val="000C2DC7"/>
    <w:rsid w:val="000C2E17"/>
    <w:rsid w:val="000C39C0"/>
    <w:rsid w:val="000C3CFC"/>
    <w:rsid w:val="000C45A6"/>
    <w:rsid w:val="000C5DBC"/>
    <w:rsid w:val="000C6C01"/>
    <w:rsid w:val="000C6CEC"/>
    <w:rsid w:val="000C7CC0"/>
    <w:rsid w:val="000C7D3F"/>
    <w:rsid w:val="000D0194"/>
    <w:rsid w:val="000D0C95"/>
    <w:rsid w:val="000D0EBC"/>
    <w:rsid w:val="000D1D2D"/>
    <w:rsid w:val="000D21FE"/>
    <w:rsid w:val="000D22B3"/>
    <w:rsid w:val="000D2F7F"/>
    <w:rsid w:val="000D31FB"/>
    <w:rsid w:val="000D3B4E"/>
    <w:rsid w:val="000D3ECF"/>
    <w:rsid w:val="000D40EF"/>
    <w:rsid w:val="000D509B"/>
    <w:rsid w:val="000D5B82"/>
    <w:rsid w:val="000D609F"/>
    <w:rsid w:val="000D60FC"/>
    <w:rsid w:val="000D6D4B"/>
    <w:rsid w:val="000D7782"/>
    <w:rsid w:val="000E0745"/>
    <w:rsid w:val="000E0D61"/>
    <w:rsid w:val="000E1521"/>
    <w:rsid w:val="000E25B4"/>
    <w:rsid w:val="000E265F"/>
    <w:rsid w:val="000E2CDB"/>
    <w:rsid w:val="000E3360"/>
    <w:rsid w:val="000E4FE4"/>
    <w:rsid w:val="000E4FE6"/>
    <w:rsid w:val="000E557B"/>
    <w:rsid w:val="000E5EAE"/>
    <w:rsid w:val="000E5FD6"/>
    <w:rsid w:val="000E60F8"/>
    <w:rsid w:val="000E6458"/>
    <w:rsid w:val="000E7061"/>
    <w:rsid w:val="000E71C9"/>
    <w:rsid w:val="000E7BF5"/>
    <w:rsid w:val="000F1E74"/>
    <w:rsid w:val="000F1F7E"/>
    <w:rsid w:val="000F2DB7"/>
    <w:rsid w:val="000F3F16"/>
    <w:rsid w:val="000F4508"/>
    <w:rsid w:val="000F4E22"/>
    <w:rsid w:val="000F50E1"/>
    <w:rsid w:val="000F5945"/>
    <w:rsid w:val="000F6507"/>
    <w:rsid w:val="000F6A26"/>
    <w:rsid w:val="000F6E79"/>
    <w:rsid w:val="000F7B16"/>
    <w:rsid w:val="000F7B60"/>
    <w:rsid w:val="000F7F48"/>
    <w:rsid w:val="001009B1"/>
    <w:rsid w:val="0010118F"/>
    <w:rsid w:val="00101507"/>
    <w:rsid w:val="00101B75"/>
    <w:rsid w:val="0010275E"/>
    <w:rsid w:val="00103E03"/>
    <w:rsid w:val="00104751"/>
    <w:rsid w:val="00104FA2"/>
    <w:rsid w:val="0010502D"/>
    <w:rsid w:val="0010512D"/>
    <w:rsid w:val="0010568D"/>
    <w:rsid w:val="001057D5"/>
    <w:rsid w:val="00105867"/>
    <w:rsid w:val="0010719A"/>
    <w:rsid w:val="00107813"/>
    <w:rsid w:val="00110FD1"/>
    <w:rsid w:val="001113E8"/>
    <w:rsid w:val="0011160B"/>
    <w:rsid w:val="00111679"/>
    <w:rsid w:val="00112501"/>
    <w:rsid w:val="0011253C"/>
    <w:rsid w:val="00112BC0"/>
    <w:rsid w:val="00112CA4"/>
    <w:rsid w:val="00112D36"/>
    <w:rsid w:val="001137AF"/>
    <w:rsid w:val="00113943"/>
    <w:rsid w:val="00114598"/>
    <w:rsid w:val="0011462D"/>
    <w:rsid w:val="00115101"/>
    <w:rsid w:val="00115507"/>
    <w:rsid w:val="00115679"/>
    <w:rsid w:val="00116EF6"/>
    <w:rsid w:val="00116FB5"/>
    <w:rsid w:val="00120024"/>
    <w:rsid w:val="0012005B"/>
    <w:rsid w:val="00122315"/>
    <w:rsid w:val="001235B7"/>
    <w:rsid w:val="00123A49"/>
    <w:rsid w:val="00123CA9"/>
    <w:rsid w:val="0012468F"/>
    <w:rsid w:val="00124ABB"/>
    <w:rsid w:val="00125D8C"/>
    <w:rsid w:val="00126C9E"/>
    <w:rsid w:val="00126F77"/>
    <w:rsid w:val="0012708D"/>
    <w:rsid w:val="00127638"/>
    <w:rsid w:val="001307BF"/>
    <w:rsid w:val="0013184C"/>
    <w:rsid w:val="001327EE"/>
    <w:rsid w:val="00132A85"/>
    <w:rsid w:val="00132AFE"/>
    <w:rsid w:val="0013306E"/>
    <w:rsid w:val="00133348"/>
    <w:rsid w:val="001337D9"/>
    <w:rsid w:val="00133B9D"/>
    <w:rsid w:val="00134539"/>
    <w:rsid w:val="00135127"/>
    <w:rsid w:val="00135128"/>
    <w:rsid w:val="00135164"/>
    <w:rsid w:val="00135C12"/>
    <w:rsid w:val="00136079"/>
    <w:rsid w:val="001364B6"/>
    <w:rsid w:val="00140501"/>
    <w:rsid w:val="00140E70"/>
    <w:rsid w:val="00141E12"/>
    <w:rsid w:val="0014292A"/>
    <w:rsid w:val="00142C5A"/>
    <w:rsid w:val="00142C98"/>
    <w:rsid w:val="001438CE"/>
    <w:rsid w:val="00143B9A"/>
    <w:rsid w:val="00143D3F"/>
    <w:rsid w:val="00144ED4"/>
    <w:rsid w:val="00145252"/>
    <w:rsid w:val="00145962"/>
    <w:rsid w:val="001464BF"/>
    <w:rsid w:val="00146704"/>
    <w:rsid w:val="00146811"/>
    <w:rsid w:val="0014742D"/>
    <w:rsid w:val="00147E6D"/>
    <w:rsid w:val="00147F26"/>
    <w:rsid w:val="001504D5"/>
    <w:rsid w:val="00150A98"/>
    <w:rsid w:val="001515EF"/>
    <w:rsid w:val="00151B25"/>
    <w:rsid w:val="0015357C"/>
    <w:rsid w:val="0015430A"/>
    <w:rsid w:val="001547BE"/>
    <w:rsid w:val="00155351"/>
    <w:rsid w:val="00155765"/>
    <w:rsid w:val="001568A1"/>
    <w:rsid w:val="00156ADE"/>
    <w:rsid w:val="00156B18"/>
    <w:rsid w:val="00157620"/>
    <w:rsid w:val="00157D86"/>
    <w:rsid w:val="00157E43"/>
    <w:rsid w:val="001606BD"/>
    <w:rsid w:val="00160B4F"/>
    <w:rsid w:val="001613D0"/>
    <w:rsid w:val="001616C1"/>
    <w:rsid w:val="00162A8E"/>
    <w:rsid w:val="00162BA5"/>
    <w:rsid w:val="001631B8"/>
    <w:rsid w:val="00163572"/>
    <w:rsid w:val="00163942"/>
    <w:rsid w:val="00163CC3"/>
    <w:rsid w:val="0016533E"/>
    <w:rsid w:val="00165406"/>
    <w:rsid w:val="00165CF6"/>
    <w:rsid w:val="001665FD"/>
    <w:rsid w:val="00167656"/>
    <w:rsid w:val="00167D57"/>
    <w:rsid w:val="00167E4C"/>
    <w:rsid w:val="0017156B"/>
    <w:rsid w:val="001717BB"/>
    <w:rsid w:val="00171C78"/>
    <w:rsid w:val="00171D04"/>
    <w:rsid w:val="00171FB5"/>
    <w:rsid w:val="001721C6"/>
    <w:rsid w:val="00172470"/>
    <w:rsid w:val="00172925"/>
    <w:rsid w:val="00173D80"/>
    <w:rsid w:val="00173FB5"/>
    <w:rsid w:val="001747C3"/>
    <w:rsid w:val="001750C4"/>
    <w:rsid w:val="00176010"/>
    <w:rsid w:val="001778B4"/>
    <w:rsid w:val="0018021D"/>
    <w:rsid w:val="0018044C"/>
    <w:rsid w:val="00180F99"/>
    <w:rsid w:val="001811C6"/>
    <w:rsid w:val="0018211F"/>
    <w:rsid w:val="00182135"/>
    <w:rsid w:val="001826CF"/>
    <w:rsid w:val="00182A0C"/>
    <w:rsid w:val="00182D09"/>
    <w:rsid w:val="00182D5E"/>
    <w:rsid w:val="00182D6D"/>
    <w:rsid w:val="00182EBA"/>
    <w:rsid w:val="001835C5"/>
    <w:rsid w:val="001837C2"/>
    <w:rsid w:val="00183FBC"/>
    <w:rsid w:val="00184142"/>
    <w:rsid w:val="0018483E"/>
    <w:rsid w:val="00185E61"/>
    <w:rsid w:val="00185F0D"/>
    <w:rsid w:val="00187415"/>
    <w:rsid w:val="0019007D"/>
    <w:rsid w:val="001900F1"/>
    <w:rsid w:val="00190863"/>
    <w:rsid w:val="00190C0E"/>
    <w:rsid w:val="00190D51"/>
    <w:rsid w:val="00190DBD"/>
    <w:rsid w:val="001916F7"/>
    <w:rsid w:val="00191C69"/>
    <w:rsid w:val="00192202"/>
    <w:rsid w:val="0019235F"/>
    <w:rsid w:val="00192E57"/>
    <w:rsid w:val="001933FD"/>
    <w:rsid w:val="00194C3D"/>
    <w:rsid w:val="0019502E"/>
    <w:rsid w:val="001954EF"/>
    <w:rsid w:val="001962DD"/>
    <w:rsid w:val="001978A1"/>
    <w:rsid w:val="001978FD"/>
    <w:rsid w:val="001A045F"/>
    <w:rsid w:val="001A0738"/>
    <w:rsid w:val="001A0A34"/>
    <w:rsid w:val="001A0E72"/>
    <w:rsid w:val="001A1C93"/>
    <w:rsid w:val="001A3493"/>
    <w:rsid w:val="001A3735"/>
    <w:rsid w:val="001A4152"/>
    <w:rsid w:val="001A4792"/>
    <w:rsid w:val="001A4C69"/>
    <w:rsid w:val="001A4F88"/>
    <w:rsid w:val="001A52BD"/>
    <w:rsid w:val="001A532E"/>
    <w:rsid w:val="001A7C56"/>
    <w:rsid w:val="001B08A3"/>
    <w:rsid w:val="001B137B"/>
    <w:rsid w:val="001B1642"/>
    <w:rsid w:val="001B1B83"/>
    <w:rsid w:val="001B1C5E"/>
    <w:rsid w:val="001B2829"/>
    <w:rsid w:val="001B36C1"/>
    <w:rsid w:val="001B5152"/>
    <w:rsid w:val="001B5642"/>
    <w:rsid w:val="001B5778"/>
    <w:rsid w:val="001B59BA"/>
    <w:rsid w:val="001B7CE9"/>
    <w:rsid w:val="001B7EB0"/>
    <w:rsid w:val="001C082E"/>
    <w:rsid w:val="001C093E"/>
    <w:rsid w:val="001C0D8A"/>
    <w:rsid w:val="001C18DE"/>
    <w:rsid w:val="001C1F08"/>
    <w:rsid w:val="001C232A"/>
    <w:rsid w:val="001C24BD"/>
    <w:rsid w:val="001C2984"/>
    <w:rsid w:val="001C45A2"/>
    <w:rsid w:val="001C532F"/>
    <w:rsid w:val="001C632B"/>
    <w:rsid w:val="001C6B65"/>
    <w:rsid w:val="001C7642"/>
    <w:rsid w:val="001C793F"/>
    <w:rsid w:val="001C79A6"/>
    <w:rsid w:val="001C7D5F"/>
    <w:rsid w:val="001D0C49"/>
    <w:rsid w:val="001D1118"/>
    <w:rsid w:val="001D132C"/>
    <w:rsid w:val="001D1CE3"/>
    <w:rsid w:val="001D287E"/>
    <w:rsid w:val="001D314B"/>
    <w:rsid w:val="001D3398"/>
    <w:rsid w:val="001D38A6"/>
    <w:rsid w:val="001D40C0"/>
    <w:rsid w:val="001D425B"/>
    <w:rsid w:val="001D4690"/>
    <w:rsid w:val="001D55F0"/>
    <w:rsid w:val="001D594E"/>
    <w:rsid w:val="001D5AAD"/>
    <w:rsid w:val="001D5DEA"/>
    <w:rsid w:val="001D6314"/>
    <w:rsid w:val="001E0152"/>
    <w:rsid w:val="001E07F8"/>
    <w:rsid w:val="001E1AAD"/>
    <w:rsid w:val="001E28F8"/>
    <w:rsid w:val="001E3C2F"/>
    <w:rsid w:val="001E3C96"/>
    <w:rsid w:val="001E3EB7"/>
    <w:rsid w:val="001E3FC6"/>
    <w:rsid w:val="001E4B8B"/>
    <w:rsid w:val="001E4FD9"/>
    <w:rsid w:val="001E5A06"/>
    <w:rsid w:val="001E5B4D"/>
    <w:rsid w:val="001E5E67"/>
    <w:rsid w:val="001E631F"/>
    <w:rsid w:val="001E76FE"/>
    <w:rsid w:val="001E77DA"/>
    <w:rsid w:val="001E77E0"/>
    <w:rsid w:val="001F008B"/>
    <w:rsid w:val="001F05DD"/>
    <w:rsid w:val="001F0A24"/>
    <w:rsid w:val="001F176E"/>
    <w:rsid w:val="001F17C4"/>
    <w:rsid w:val="001F1863"/>
    <w:rsid w:val="001F1DC5"/>
    <w:rsid w:val="001F23F1"/>
    <w:rsid w:val="001F3048"/>
    <w:rsid w:val="001F3CFD"/>
    <w:rsid w:val="001F3D53"/>
    <w:rsid w:val="001F4407"/>
    <w:rsid w:val="001F6072"/>
    <w:rsid w:val="001F7114"/>
    <w:rsid w:val="001F7606"/>
    <w:rsid w:val="001F7B30"/>
    <w:rsid w:val="001F7DD8"/>
    <w:rsid w:val="002003D4"/>
    <w:rsid w:val="0020046B"/>
    <w:rsid w:val="00200946"/>
    <w:rsid w:val="00200C9B"/>
    <w:rsid w:val="002011EF"/>
    <w:rsid w:val="00201A8A"/>
    <w:rsid w:val="00201B44"/>
    <w:rsid w:val="00202055"/>
    <w:rsid w:val="0020240E"/>
    <w:rsid w:val="002036CC"/>
    <w:rsid w:val="00203B2A"/>
    <w:rsid w:val="0020439A"/>
    <w:rsid w:val="002047BD"/>
    <w:rsid w:val="00204FA8"/>
    <w:rsid w:val="00205A46"/>
    <w:rsid w:val="002060E8"/>
    <w:rsid w:val="00206258"/>
    <w:rsid w:val="0020626B"/>
    <w:rsid w:val="00206604"/>
    <w:rsid w:val="002067D0"/>
    <w:rsid w:val="00206B5D"/>
    <w:rsid w:val="0020736E"/>
    <w:rsid w:val="0020742F"/>
    <w:rsid w:val="002074C6"/>
    <w:rsid w:val="00207515"/>
    <w:rsid w:val="002075E2"/>
    <w:rsid w:val="00207AD8"/>
    <w:rsid w:val="00207B26"/>
    <w:rsid w:val="00210386"/>
    <w:rsid w:val="00211FEA"/>
    <w:rsid w:val="00212628"/>
    <w:rsid w:val="002126BA"/>
    <w:rsid w:val="00212B7C"/>
    <w:rsid w:val="00212C4E"/>
    <w:rsid w:val="00213D60"/>
    <w:rsid w:val="00213FB4"/>
    <w:rsid w:val="002141E2"/>
    <w:rsid w:val="00214536"/>
    <w:rsid w:val="002148E1"/>
    <w:rsid w:val="00214B00"/>
    <w:rsid w:val="00215218"/>
    <w:rsid w:val="00215D82"/>
    <w:rsid w:val="00215EE4"/>
    <w:rsid w:val="0021696D"/>
    <w:rsid w:val="002204B9"/>
    <w:rsid w:val="00220D79"/>
    <w:rsid w:val="002210B4"/>
    <w:rsid w:val="002212A7"/>
    <w:rsid w:val="00221959"/>
    <w:rsid w:val="0022298D"/>
    <w:rsid w:val="00222ABA"/>
    <w:rsid w:val="00223589"/>
    <w:rsid w:val="00223705"/>
    <w:rsid w:val="002244C6"/>
    <w:rsid w:val="00224D3F"/>
    <w:rsid w:val="00225560"/>
    <w:rsid w:val="00225E83"/>
    <w:rsid w:val="00226C5B"/>
    <w:rsid w:val="002305E3"/>
    <w:rsid w:val="00231858"/>
    <w:rsid w:val="00231A1B"/>
    <w:rsid w:val="00232571"/>
    <w:rsid w:val="00232870"/>
    <w:rsid w:val="00233238"/>
    <w:rsid w:val="00233522"/>
    <w:rsid w:val="00233B87"/>
    <w:rsid w:val="00233CFB"/>
    <w:rsid w:val="00233D75"/>
    <w:rsid w:val="00233E4C"/>
    <w:rsid w:val="00233EC4"/>
    <w:rsid w:val="0023431F"/>
    <w:rsid w:val="0023493D"/>
    <w:rsid w:val="00234CC0"/>
    <w:rsid w:val="0023561E"/>
    <w:rsid w:val="002358DF"/>
    <w:rsid w:val="00235902"/>
    <w:rsid w:val="00235C24"/>
    <w:rsid w:val="00235D8A"/>
    <w:rsid w:val="00236439"/>
    <w:rsid w:val="00236849"/>
    <w:rsid w:val="00236A85"/>
    <w:rsid w:val="00237185"/>
    <w:rsid w:val="00237EEA"/>
    <w:rsid w:val="002401D4"/>
    <w:rsid w:val="00240215"/>
    <w:rsid w:val="002406A7"/>
    <w:rsid w:val="00240ABC"/>
    <w:rsid w:val="002421B3"/>
    <w:rsid w:val="002429F4"/>
    <w:rsid w:val="002433DB"/>
    <w:rsid w:val="002447E4"/>
    <w:rsid w:val="002449B4"/>
    <w:rsid w:val="00245E03"/>
    <w:rsid w:val="0024673B"/>
    <w:rsid w:val="00247237"/>
    <w:rsid w:val="00250BF9"/>
    <w:rsid w:val="00251578"/>
    <w:rsid w:val="0025179A"/>
    <w:rsid w:val="00251823"/>
    <w:rsid w:val="00251C51"/>
    <w:rsid w:val="00251F00"/>
    <w:rsid w:val="002536E6"/>
    <w:rsid w:val="00253C84"/>
    <w:rsid w:val="002542B0"/>
    <w:rsid w:val="0025529A"/>
    <w:rsid w:val="00255D6A"/>
    <w:rsid w:val="00255EE9"/>
    <w:rsid w:val="002560A1"/>
    <w:rsid w:val="00256875"/>
    <w:rsid w:val="00256D42"/>
    <w:rsid w:val="00256FC9"/>
    <w:rsid w:val="00257C58"/>
    <w:rsid w:val="00257D16"/>
    <w:rsid w:val="00260F91"/>
    <w:rsid w:val="00261013"/>
    <w:rsid w:val="00262B6B"/>
    <w:rsid w:val="00262C2A"/>
    <w:rsid w:val="00263AB4"/>
    <w:rsid w:val="00264554"/>
    <w:rsid w:val="00264AB6"/>
    <w:rsid w:val="00265437"/>
    <w:rsid w:val="0026577F"/>
    <w:rsid w:val="00265AAB"/>
    <w:rsid w:val="0026605D"/>
    <w:rsid w:val="002663A3"/>
    <w:rsid w:val="00266B80"/>
    <w:rsid w:val="00266C85"/>
    <w:rsid w:val="00267224"/>
    <w:rsid w:val="00267271"/>
    <w:rsid w:val="002676A3"/>
    <w:rsid w:val="00271F90"/>
    <w:rsid w:val="00273422"/>
    <w:rsid w:val="00273FF0"/>
    <w:rsid w:val="00274245"/>
    <w:rsid w:val="002748E7"/>
    <w:rsid w:val="00274AD0"/>
    <w:rsid w:val="00274C3E"/>
    <w:rsid w:val="002753EC"/>
    <w:rsid w:val="00275BCD"/>
    <w:rsid w:val="00275E18"/>
    <w:rsid w:val="00275E1E"/>
    <w:rsid w:val="002766AD"/>
    <w:rsid w:val="00276B5C"/>
    <w:rsid w:val="002770B2"/>
    <w:rsid w:val="00277649"/>
    <w:rsid w:val="00277742"/>
    <w:rsid w:val="00280DD9"/>
    <w:rsid w:val="00281322"/>
    <w:rsid w:val="0028149E"/>
    <w:rsid w:val="0028198C"/>
    <w:rsid w:val="00282ECF"/>
    <w:rsid w:val="0028387A"/>
    <w:rsid w:val="002851AB"/>
    <w:rsid w:val="002852D6"/>
    <w:rsid w:val="00286240"/>
    <w:rsid w:val="002864C8"/>
    <w:rsid w:val="00286FD8"/>
    <w:rsid w:val="002871BE"/>
    <w:rsid w:val="00287753"/>
    <w:rsid w:val="00287950"/>
    <w:rsid w:val="00287BF3"/>
    <w:rsid w:val="00290D63"/>
    <w:rsid w:val="002912C0"/>
    <w:rsid w:val="00291947"/>
    <w:rsid w:val="002932B1"/>
    <w:rsid w:val="00293CB8"/>
    <w:rsid w:val="00294131"/>
    <w:rsid w:val="00294316"/>
    <w:rsid w:val="0029521F"/>
    <w:rsid w:val="002957E0"/>
    <w:rsid w:val="002959E9"/>
    <w:rsid w:val="002963E8"/>
    <w:rsid w:val="00296A54"/>
    <w:rsid w:val="00297268"/>
    <w:rsid w:val="002976FD"/>
    <w:rsid w:val="002979E9"/>
    <w:rsid w:val="00297DC0"/>
    <w:rsid w:val="002A03F1"/>
    <w:rsid w:val="002A1461"/>
    <w:rsid w:val="002A14CD"/>
    <w:rsid w:val="002A15F7"/>
    <w:rsid w:val="002A1AF9"/>
    <w:rsid w:val="002A3056"/>
    <w:rsid w:val="002A35E3"/>
    <w:rsid w:val="002A4878"/>
    <w:rsid w:val="002A491B"/>
    <w:rsid w:val="002A5769"/>
    <w:rsid w:val="002A5DB1"/>
    <w:rsid w:val="002A6899"/>
    <w:rsid w:val="002A6D7D"/>
    <w:rsid w:val="002B1004"/>
    <w:rsid w:val="002B1029"/>
    <w:rsid w:val="002B163D"/>
    <w:rsid w:val="002B1B14"/>
    <w:rsid w:val="002B23AF"/>
    <w:rsid w:val="002B2DE2"/>
    <w:rsid w:val="002B30EB"/>
    <w:rsid w:val="002B317E"/>
    <w:rsid w:val="002B4315"/>
    <w:rsid w:val="002B6513"/>
    <w:rsid w:val="002B76DC"/>
    <w:rsid w:val="002B7896"/>
    <w:rsid w:val="002C02C1"/>
    <w:rsid w:val="002C143F"/>
    <w:rsid w:val="002C1620"/>
    <w:rsid w:val="002C19A8"/>
    <w:rsid w:val="002C23AB"/>
    <w:rsid w:val="002C2825"/>
    <w:rsid w:val="002C2C67"/>
    <w:rsid w:val="002C3083"/>
    <w:rsid w:val="002C37E7"/>
    <w:rsid w:val="002C3BCF"/>
    <w:rsid w:val="002C3FDC"/>
    <w:rsid w:val="002C417A"/>
    <w:rsid w:val="002C472D"/>
    <w:rsid w:val="002C4B9D"/>
    <w:rsid w:val="002C50BA"/>
    <w:rsid w:val="002C5250"/>
    <w:rsid w:val="002C5446"/>
    <w:rsid w:val="002C5607"/>
    <w:rsid w:val="002C5D88"/>
    <w:rsid w:val="002C6002"/>
    <w:rsid w:val="002D0FA9"/>
    <w:rsid w:val="002D1CA4"/>
    <w:rsid w:val="002D23A7"/>
    <w:rsid w:val="002D2D80"/>
    <w:rsid w:val="002D2F68"/>
    <w:rsid w:val="002D3003"/>
    <w:rsid w:val="002D3264"/>
    <w:rsid w:val="002D44D7"/>
    <w:rsid w:val="002D4896"/>
    <w:rsid w:val="002D57B3"/>
    <w:rsid w:val="002D5B4E"/>
    <w:rsid w:val="002D6344"/>
    <w:rsid w:val="002D68C0"/>
    <w:rsid w:val="002D6A00"/>
    <w:rsid w:val="002D782F"/>
    <w:rsid w:val="002D7E4F"/>
    <w:rsid w:val="002E030B"/>
    <w:rsid w:val="002E0E85"/>
    <w:rsid w:val="002E1BA6"/>
    <w:rsid w:val="002E1D81"/>
    <w:rsid w:val="002E1FD6"/>
    <w:rsid w:val="002E29A8"/>
    <w:rsid w:val="002E2AB0"/>
    <w:rsid w:val="002E3434"/>
    <w:rsid w:val="002E37B2"/>
    <w:rsid w:val="002E3A6F"/>
    <w:rsid w:val="002E4BC7"/>
    <w:rsid w:val="002E4D28"/>
    <w:rsid w:val="002E4D39"/>
    <w:rsid w:val="002E54CB"/>
    <w:rsid w:val="002E59AC"/>
    <w:rsid w:val="002E66A6"/>
    <w:rsid w:val="002E6BB3"/>
    <w:rsid w:val="002E6E32"/>
    <w:rsid w:val="002E7B77"/>
    <w:rsid w:val="002F1202"/>
    <w:rsid w:val="002F1435"/>
    <w:rsid w:val="002F2173"/>
    <w:rsid w:val="002F358E"/>
    <w:rsid w:val="002F3A83"/>
    <w:rsid w:val="002F53A4"/>
    <w:rsid w:val="002F54D2"/>
    <w:rsid w:val="002F5548"/>
    <w:rsid w:val="002F59C6"/>
    <w:rsid w:val="002F59D0"/>
    <w:rsid w:val="002F5AFA"/>
    <w:rsid w:val="002F5F06"/>
    <w:rsid w:val="002F639F"/>
    <w:rsid w:val="002F68C2"/>
    <w:rsid w:val="002F6CB5"/>
    <w:rsid w:val="002F7F4A"/>
    <w:rsid w:val="00300C7C"/>
    <w:rsid w:val="003010B1"/>
    <w:rsid w:val="00301521"/>
    <w:rsid w:val="00304066"/>
    <w:rsid w:val="00304464"/>
    <w:rsid w:val="003046BD"/>
    <w:rsid w:val="00304727"/>
    <w:rsid w:val="00304D1C"/>
    <w:rsid w:val="00304FF8"/>
    <w:rsid w:val="00305B97"/>
    <w:rsid w:val="00305E10"/>
    <w:rsid w:val="00306268"/>
    <w:rsid w:val="00306EE0"/>
    <w:rsid w:val="003074D3"/>
    <w:rsid w:val="00307E46"/>
    <w:rsid w:val="0031172B"/>
    <w:rsid w:val="00311F3F"/>
    <w:rsid w:val="00312100"/>
    <w:rsid w:val="003123E8"/>
    <w:rsid w:val="00312526"/>
    <w:rsid w:val="0031306E"/>
    <w:rsid w:val="00313407"/>
    <w:rsid w:val="00313878"/>
    <w:rsid w:val="00314FC9"/>
    <w:rsid w:val="003163C4"/>
    <w:rsid w:val="003167D9"/>
    <w:rsid w:val="00316BC7"/>
    <w:rsid w:val="003179B0"/>
    <w:rsid w:val="00317D65"/>
    <w:rsid w:val="00320259"/>
    <w:rsid w:val="00320850"/>
    <w:rsid w:val="003208CE"/>
    <w:rsid w:val="003209A6"/>
    <w:rsid w:val="00320C27"/>
    <w:rsid w:val="00321399"/>
    <w:rsid w:val="0032212D"/>
    <w:rsid w:val="00322F8F"/>
    <w:rsid w:val="0032303E"/>
    <w:rsid w:val="003231CF"/>
    <w:rsid w:val="003231EC"/>
    <w:rsid w:val="003233B9"/>
    <w:rsid w:val="0032352D"/>
    <w:rsid w:val="0032363F"/>
    <w:rsid w:val="00324877"/>
    <w:rsid w:val="0032490B"/>
    <w:rsid w:val="00324AE0"/>
    <w:rsid w:val="00324AF8"/>
    <w:rsid w:val="00324E65"/>
    <w:rsid w:val="00325D26"/>
    <w:rsid w:val="003266F0"/>
    <w:rsid w:val="00326DC6"/>
    <w:rsid w:val="003303ED"/>
    <w:rsid w:val="00330C16"/>
    <w:rsid w:val="003317FF"/>
    <w:rsid w:val="003318D1"/>
    <w:rsid w:val="00331BC1"/>
    <w:rsid w:val="00331E45"/>
    <w:rsid w:val="0033200A"/>
    <w:rsid w:val="00332382"/>
    <w:rsid w:val="003324B5"/>
    <w:rsid w:val="00332954"/>
    <w:rsid w:val="0033344A"/>
    <w:rsid w:val="003339AE"/>
    <w:rsid w:val="00333EA0"/>
    <w:rsid w:val="003345D7"/>
    <w:rsid w:val="00335606"/>
    <w:rsid w:val="0033568E"/>
    <w:rsid w:val="003358B4"/>
    <w:rsid w:val="003370B1"/>
    <w:rsid w:val="003373CB"/>
    <w:rsid w:val="00337622"/>
    <w:rsid w:val="003379A5"/>
    <w:rsid w:val="0034002A"/>
    <w:rsid w:val="00340194"/>
    <w:rsid w:val="00340262"/>
    <w:rsid w:val="00340F04"/>
    <w:rsid w:val="0034193B"/>
    <w:rsid w:val="00341956"/>
    <w:rsid w:val="00341BAE"/>
    <w:rsid w:val="00342481"/>
    <w:rsid w:val="00342CA1"/>
    <w:rsid w:val="00342F94"/>
    <w:rsid w:val="0034341B"/>
    <w:rsid w:val="003435F0"/>
    <w:rsid w:val="00343F27"/>
    <w:rsid w:val="00343F60"/>
    <w:rsid w:val="003440C9"/>
    <w:rsid w:val="00344843"/>
    <w:rsid w:val="00345272"/>
    <w:rsid w:val="00345ABF"/>
    <w:rsid w:val="00346AEC"/>
    <w:rsid w:val="003472EF"/>
    <w:rsid w:val="00347311"/>
    <w:rsid w:val="00347520"/>
    <w:rsid w:val="00347810"/>
    <w:rsid w:val="0035043E"/>
    <w:rsid w:val="003505C2"/>
    <w:rsid w:val="00350BEA"/>
    <w:rsid w:val="00350C1C"/>
    <w:rsid w:val="003510EC"/>
    <w:rsid w:val="00351A2C"/>
    <w:rsid w:val="0035236B"/>
    <w:rsid w:val="00353360"/>
    <w:rsid w:val="00353EA1"/>
    <w:rsid w:val="00354C29"/>
    <w:rsid w:val="0035507A"/>
    <w:rsid w:val="00355321"/>
    <w:rsid w:val="0035532C"/>
    <w:rsid w:val="003553CB"/>
    <w:rsid w:val="0035588E"/>
    <w:rsid w:val="0035663A"/>
    <w:rsid w:val="00356A89"/>
    <w:rsid w:val="00356FAA"/>
    <w:rsid w:val="003575A2"/>
    <w:rsid w:val="003601C3"/>
    <w:rsid w:val="0036079F"/>
    <w:rsid w:val="0036132E"/>
    <w:rsid w:val="003614E2"/>
    <w:rsid w:val="003623BC"/>
    <w:rsid w:val="003626FC"/>
    <w:rsid w:val="00363A48"/>
    <w:rsid w:val="00363D3A"/>
    <w:rsid w:val="00364280"/>
    <w:rsid w:val="0036502E"/>
    <w:rsid w:val="0036582E"/>
    <w:rsid w:val="00365EEA"/>
    <w:rsid w:val="00366D1B"/>
    <w:rsid w:val="003706E1"/>
    <w:rsid w:val="003708E2"/>
    <w:rsid w:val="00371400"/>
    <w:rsid w:val="00371E46"/>
    <w:rsid w:val="00372472"/>
    <w:rsid w:val="0037284A"/>
    <w:rsid w:val="0037315C"/>
    <w:rsid w:val="00375945"/>
    <w:rsid w:val="00375C84"/>
    <w:rsid w:val="00375C8F"/>
    <w:rsid w:val="00377518"/>
    <w:rsid w:val="00377832"/>
    <w:rsid w:val="00377FE7"/>
    <w:rsid w:val="0038012E"/>
    <w:rsid w:val="003807A1"/>
    <w:rsid w:val="00380C26"/>
    <w:rsid w:val="003813C5"/>
    <w:rsid w:val="00381447"/>
    <w:rsid w:val="00381A97"/>
    <w:rsid w:val="00381EC6"/>
    <w:rsid w:val="00383693"/>
    <w:rsid w:val="003846EB"/>
    <w:rsid w:val="00384B9A"/>
    <w:rsid w:val="00384DB6"/>
    <w:rsid w:val="00385249"/>
    <w:rsid w:val="00385450"/>
    <w:rsid w:val="0038640F"/>
    <w:rsid w:val="00386AFF"/>
    <w:rsid w:val="00390C19"/>
    <w:rsid w:val="00391CA4"/>
    <w:rsid w:val="003922FC"/>
    <w:rsid w:val="0039249C"/>
    <w:rsid w:val="00392722"/>
    <w:rsid w:val="00392A65"/>
    <w:rsid w:val="00392C80"/>
    <w:rsid w:val="003935C5"/>
    <w:rsid w:val="0039375B"/>
    <w:rsid w:val="00393930"/>
    <w:rsid w:val="003949FA"/>
    <w:rsid w:val="00397939"/>
    <w:rsid w:val="00397C95"/>
    <w:rsid w:val="00397CED"/>
    <w:rsid w:val="003A0061"/>
    <w:rsid w:val="003A05BC"/>
    <w:rsid w:val="003A0D09"/>
    <w:rsid w:val="003A0EDE"/>
    <w:rsid w:val="003A165A"/>
    <w:rsid w:val="003A1D85"/>
    <w:rsid w:val="003A1E79"/>
    <w:rsid w:val="003A2635"/>
    <w:rsid w:val="003A45BA"/>
    <w:rsid w:val="003A5C18"/>
    <w:rsid w:val="003A6CBE"/>
    <w:rsid w:val="003A76CC"/>
    <w:rsid w:val="003A7BE7"/>
    <w:rsid w:val="003B1638"/>
    <w:rsid w:val="003B3558"/>
    <w:rsid w:val="003B36AC"/>
    <w:rsid w:val="003B36F4"/>
    <w:rsid w:val="003B3CC0"/>
    <w:rsid w:val="003B4830"/>
    <w:rsid w:val="003B5580"/>
    <w:rsid w:val="003B5D8C"/>
    <w:rsid w:val="003B61C3"/>
    <w:rsid w:val="003B6415"/>
    <w:rsid w:val="003B6824"/>
    <w:rsid w:val="003B6F4E"/>
    <w:rsid w:val="003B72D4"/>
    <w:rsid w:val="003B73F8"/>
    <w:rsid w:val="003B79FC"/>
    <w:rsid w:val="003C14F7"/>
    <w:rsid w:val="003C15D8"/>
    <w:rsid w:val="003C242C"/>
    <w:rsid w:val="003C261A"/>
    <w:rsid w:val="003C373E"/>
    <w:rsid w:val="003C3AC6"/>
    <w:rsid w:val="003C3CEF"/>
    <w:rsid w:val="003C3F4E"/>
    <w:rsid w:val="003C44E0"/>
    <w:rsid w:val="003C455B"/>
    <w:rsid w:val="003C4758"/>
    <w:rsid w:val="003C6B86"/>
    <w:rsid w:val="003C7664"/>
    <w:rsid w:val="003C76EC"/>
    <w:rsid w:val="003C7B04"/>
    <w:rsid w:val="003C7E15"/>
    <w:rsid w:val="003D01D9"/>
    <w:rsid w:val="003D0933"/>
    <w:rsid w:val="003D0B20"/>
    <w:rsid w:val="003D2249"/>
    <w:rsid w:val="003D244F"/>
    <w:rsid w:val="003D3342"/>
    <w:rsid w:val="003D3430"/>
    <w:rsid w:val="003D420E"/>
    <w:rsid w:val="003D4572"/>
    <w:rsid w:val="003D4825"/>
    <w:rsid w:val="003D5533"/>
    <w:rsid w:val="003D5D64"/>
    <w:rsid w:val="003D630F"/>
    <w:rsid w:val="003D6EB9"/>
    <w:rsid w:val="003D6F61"/>
    <w:rsid w:val="003E0097"/>
    <w:rsid w:val="003E04C6"/>
    <w:rsid w:val="003E0598"/>
    <w:rsid w:val="003E0BFD"/>
    <w:rsid w:val="003E1435"/>
    <w:rsid w:val="003E1A6E"/>
    <w:rsid w:val="003E32E6"/>
    <w:rsid w:val="003E3943"/>
    <w:rsid w:val="003E3A87"/>
    <w:rsid w:val="003E4400"/>
    <w:rsid w:val="003E4574"/>
    <w:rsid w:val="003E47F0"/>
    <w:rsid w:val="003E4C74"/>
    <w:rsid w:val="003E5D37"/>
    <w:rsid w:val="003E5E61"/>
    <w:rsid w:val="003E6F72"/>
    <w:rsid w:val="003E73B0"/>
    <w:rsid w:val="003E75BA"/>
    <w:rsid w:val="003E7975"/>
    <w:rsid w:val="003E7CD9"/>
    <w:rsid w:val="003E7D8C"/>
    <w:rsid w:val="003F19CD"/>
    <w:rsid w:val="003F244B"/>
    <w:rsid w:val="003F257A"/>
    <w:rsid w:val="003F2608"/>
    <w:rsid w:val="003F2F73"/>
    <w:rsid w:val="003F38E0"/>
    <w:rsid w:val="003F5201"/>
    <w:rsid w:val="003F57F8"/>
    <w:rsid w:val="003F5CC9"/>
    <w:rsid w:val="003F5E54"/>
    <w:rsid w:val="003F6A81"/>
    <w:rsid w:val="003F6D1E"/>
    <w:rsid w:val="003F73C0"/>
    <w:rsid w:val="003F7754"/>
    <w:rsid w:val="003F7C2B"/>
    <w:rsid w:val="003F7CF5"/>
    <w:rsid w:val="003F7D43"/>
    <w:rsid w:val="004008B1"/>
    <w:rsid w:val="00401CF1"/>
    <w:rsid w:val="00401D79"/>
    <w:rsid w:val="00401DF7"/>
    <w:rsid w:val="00402B9B"/>
    <w:rsid w:val="0040322A"/>
    <w:rsid w:val="00403C92"/>
    <w:rsid w:val="0040428A"/>
    <w:rsid w:val="00404379"/>
    <w:rsid w:val="004049EB"/>
    <w:rsid w:val="00404C0C"/>
    <w:rsid w:val="00404CDB"/>
    <w:rsid w:val="00404F79"/>
    <w:rsid w:val="0040512C"/>
    <w:rsid w:val="0040563C"/>
    <w:rsid w:val="0040571F"/>
    <w:rsid w:val="00405F59"/>
    <w:rsid w:val="0040675F"/>
    <w:rsid w:val="00406D2F"/>
    <w:rsid w:val="00407A4A"/>
    <w:rsid w:val="00407ADC"/>
    <w:rsid w:val="004110B9"/>
    <w:rsid w:val="0041131D"/>
    <w:rsid w:val="004115AF"/>
    <w:rsid w:val="00412871"/>
    <w:rsid w:val="00412EB6"/>
    <w:rsid w:val="00413715"/>
    <w:rsid w:val="0041461E"/>
    <w:rsid w:val="004148B3"/>
    <w:rsid w:val="00414FAA"/>
    <w:rsid w:val="004167AA"/>
    <w:rsid w:val="00416E59"/>
    <w:rsid w:val="0042097F"/>
    <w:rsid w:val="004215B3"/>
    <w:rsid w:val="004215BB"/>
    <w:rsid w:val="004218B8"/>
    <w:rsid w:val="00421925"/>
    <w:rsid w:val="00422590"/>
    <w:rsid w:val="00422E8C"/>
    <w:rsid w:val="004236EB"/>
    <w:rsid w:val="00423C6E"/>
    <w:rsid w:val="00424634"/>
    <w:rsid w:val="004254B5"/>
    <w:rsid w:val="00425625"/>
    <w:rsid w:val="00425A80"/>
    <w:rsid w:val="00425D52"/>
    <w:rsid w:val="0042661B"/>
    <w:rsid w:val="0042665A"/>
    <w:rsid w:val="0042681C"/>
    <w:rsid w:val="00426DD5"/>
    <w:rsid w:val="00426E07"/>
    <w:rsid w:val="00426FA1"/>
    <w:rsid w:val="004275FD"/>
    <w:rsid w:val="00427860"/>
    <w:rsid w:val="004300D2"/>
    <w:rsid w:val="00430FD2"/>
    <w:rsid w:val="00431458"/>
    <w:rsid w:val="00431CD8"/>
    <w:rsid w:val="00431E48"/>
    <w:rsid w:val="00432050"/>
    <w:rsid w:val="0043210D"/>
    <w:rsid w:val="004321CE"/>
    <w:rsid w:val="00432AA9"/>
    <w:rsid w:val="00433E0D"/>
    <w:rsid w:val="0043578B"/>
    <w:rsid w:val="00435B24"/>
    <w:rsid w:val="004364DC"/>
    <w:rsid w:val="0043741B"/>
    <w:rsid w:val="00437502"/>
    <w:rsid w:val="0043789C"/>
    <w:rsid w:val="00437A6A"/>
    <w:rsid w:val="00437E91"/>
    <w:rsid w:val="0044009B"/>
    <w:rsid w:val="0044025C"/>
    <w:rsid w:val="004418CD"/>
    <w:rsid w:val="00441C83"/>
    <w:rsid w:val="00442948"/>
    <w:rsid w:val="00442AA1"/>
    <w:rsid w:val="0044338A"/>
    <w:rsid w:val="00444023"/>
    <w:rsid w:val="0044550A"/>
    <w:rsid w:val="004458B3"/>
    <w:rsid w:val="00445DFB"/>
    <w:rsid w:val="00446270"/>
    <w:rsid w:val="00446473"/>
    <w:rsid w:val="00446EC5"/>
    <w:rsid w:val="004472E2"/>
    <w:rsid w:val="00450DFE"/>
    <w:rsid w:val="00451164"/>
    <w:rsid w:val="004516A3"/>
    <w:rsid w:val="00451852"/>
    <w:rsid w:val="00452A84"/>
    <w:rsid w:val="004542F1"/>
    <w:rsid w:val="00454318"/>
    <w:rsid w:val="0045648D"/>
    <w:rsid w:val="00456563"/>
    <w:rsid w:val="004566B5"/>
    <w:rsid w:val="004567C3"/>
    <w:rsid w:val="004568E6"/>
    <w:rsid w:val="00456F77"/>
    <w:rsid w:val="0046006F"/>
    <w:rsid w:val="00460127"/>
    <w:rsid w:val="00460A53"/>
    <w:rsid w:val="00460CF2"/>
    <w:rsid w:val="0046111E"/>
    <w:rsid w:val="004618D5"/>
    <w:rsid w:val="00462209"/>
    <w:rsid w:val="00462439"/>
    <w:rsid w:val="00462E5B"/>
    <w:rsid w:val="00463BBB"/>
    <w:rsid w:val="0046508B"/>
    <w:rsid w:val="0046540F"/>
    <w:rsid w:val="00465C4B"/>
    <w:rsid w:val="00466AA9"/>
    <w:rsid w:val="0046798C"/>
    <w:rsid w:val="00470369"/>
    <w:rsid w:val="004705DE"/>
    <w:rsid w:val="004715F4"/>
    <w:rsid w:val="00471708"/>
    <w:rsid w:val="00471781"/>
    <w:rsid w:val="0047277C"/>
    <w:rsid w:val="00473FEC"/>
    <w:rsid w:val="00474351"/>
    <w:rsid w:val="0047568A"/>
    <w:rsid w:val="00476174"/>
    <w:rsid w:val="00476AB6"/>
    <w:rsid w:val="00476F3A"/>
    <w:rsid w:val="00477B08"/>
    <w:rsid w:val="004801E7"/>
    <w:rsid w:val="00480727"/>
    <w:rsid w:val="004813B8"/>
    <w:rsid w:val="004815AE"/>
    <w:rsid w:val="00482816"/>
    <w:rsid w:val="00482C28"/>
    <w:rsid w:val="004837A2"/>
    <w:rsid w:val="00484010"/>
    <w:rsid w:val="004841E1"/>
    <w:rsid w:val="00484530"/>
    <w:rsid w:val="004846A0"/>
    <w:rsid w:val="00485508"/>
    <w:rsid w:val="00485819"/>
    <w:rsid w:val="004858C8"/>
    <w:rsid w:val="00485AF7"/>
    <w:rsid w:val="00486106"/>
    <w:rsid w:val="00487DA1"/>
    <w:rsid w:val="0049077F"/>
    <w:rsid w:val="00491158"/>
    <w:rsid w:val="00491903"/>
    <w:rsid w:val="00491C09"/>
    <w:rsid w:val="00491D90"/>
    <w:rsid w:val="0049213A"/>
    <w:rsid w:val="00492851"/>
    <w:rsid w:val="0049291F"/>
    <w:rsid w:val="00492AF7"/>
    <w:rsid w:val="00492DF0"/>
    <w:rsid w:val="004930C7"/>
    <w:rsid w:val="0049314E"/>
    <w:rsid w:val="004938C9"/>
    <w:rsid w:val="00493925"/>
    <w:rsid w:val="00494498"/>
    <w:rsid w:val="00495373"/>
    <w:rsid w:val="00496D85"/>
    <w:rsid w:val="00497138"/>
    <w:rsid w:val="004A0293"/>
    <w:rsid w:val="004A062A"/>
    <w:rsid w:val="004A0E65"/>
    <w:rsid w:val="004A0F6A"/>
    <w:rsid w:val="004A1D9D"/>
    <w:rsid w:val="004A2040"/>
    <w:rsid w:val="004A21D7"/>
    <w:rsid w:val="004A2276"/>
    <w:rsid w:val="004A2A4F"/>
    <w:rsid w:val="004A3CC5"/>
    <w:rsid w:val="004A3DC1"/>
    <w:rsid w:val="004A41AB"/>
    <w:rsid w:val="004A5232"/>
    <w:rsid w:val="004A528C"/>
    <w:rsid w:val="004A5CAC"/>
    <w:rsid w:val="004A6947"/>
    <w:rsid w:val="004A6F75"/>
    <w:rsid w:val="004A71EC"/>
    <w:rsid w:val="004A7486"/>
    <w:rsid w:val="004A781E"/>
    <w:rsid w:val="004B1021"/>
    <w:rsid w:val="004B166C"/>
    <w:rsid w:val="004B17B2"/>
    <w:rsid w:val="004B1CA3"/>
    <w:rsid w:val="004B1E44"/>
    <w:rsid w:val="004B23D6"/>
    <w:rsid w:val="004B2BBF"/>
    <w:rsid w:val="004B3061"/>
    <w:rsid w:val="004B41E3"/>
    <w:rsid w:val="004B61B4"/>
    <w:rsid w:val="004B65C7"/>
    <w:rsid w:val="004B66FF"/>
    <w:rsid w:val="004B67B4"/>
    <w:rsid w:val="004B74F6"/>
    <w:rsid w:val="004B75A7"/>
    <w:rsid w:val="004B7AF2"/>
    <w:rsid w:val="004B7B03"/>
    <w:rsid w:val="004C0441"/>
    <w:rsid w:val="004C0C78"/>
    <w:rsid w:val="004C1B79"/>
    <w:rsid w:val="004C24B6"/>
    <w:rsid w:val="004C398A"/>
    <w:rsid w:val="004C3E76"/>
    <w:rsid w:val="004C4E20"/>
    <w:rsid w:val="004C51B0"/>
    <w:rsid w:val="004C5986"/>
    <w:rsid w:val="004C638A"/>
    <w:rsid w:val="004C7422"/>
    <w:rsid w:val="004C74BA"/>
    <w:rsid w:val="004C79FC"/>
    <w:rsid w:val="004D01CF"/>
    <w:rsid w:val="004D055A"/>
    <w:rsid w:val="004D0B16"/>
    <w:rsid w:val="004D0D97"/>
    <w:rsid w:val="004D0D9A"/>
    <w:rsid w:val="004D1B52"/>
    <w:rsid w:val="004D30F5"/>
    <w:rsid w:val="004D3A0E"/>
    <w:rsid w:val="004D3D4D"/>
    <w:rsid w:val="004D5747"/>
    <w:rsid w:val="004D5855"/>
    <w:rsid w:val="004D6500"/>
    <w:rsid w:val="004D6F46"/>
    <w:rsid w:val="004D75FC"/>
    <w:rsid w:val="004D7DDE"/>
    <w:rsid w:val="004E0605"/>
    <w:rsid w:val="004E0AE0"/>
    <w:rsid w:val="004E1121"/>
    <w:rsid w:val="004E1230"/>
    <w:rsid w:val="004E29F5"/>
    <w:rsid w:val="004E2DD7"/>
    <w:rsid w:val="004E2DD8"/>
    <w:rsid w:val="004E2E7E"/>
    <w:rsid w:val="004E36C0"/>
    <w:rsid w:val="004E385B"/>
    <w:rsid w:val="004E43DF"/>
    <w:rsid w:val="004E4DDE"/>
    <w:rsid w:val="004E533E"/>
    <w:rsid w:val="004E5CB6"/>
    <w:rsid w:val="004E5D16"/>
    <w:rsid w:val="004E62C6"/>
    <w:rsid w:val="004E64DD"/>
    <w:rsid w:val="004E6A06"/>
    <w:rsid w:val="004E6DC0"/>
    <w:rsid w:val="004E74AE"/>
    <w:rsid w:val="004E75AF"/>
    <w:rsid w:val="004E75EA"/>
    <w:rsid w:val="004E7950"/>
    <w:rsid w:val="004E7DE7"/>
    <w:rsid w:val="004E7E01"/>
    <w:rsid w:val="004F0B03"/>
    <w:rsid w:val="004F0B29"/>
    <w:rsid w:val="004F169C"/>
    <w:rsid w:val="004F45FC"/>
    <w:rsid w:val="004F4B24"/>
    <w:rsid w:val="004F5132"/>
    <w:rsid w:val="004F5346"/>
    <w:rsid w:val="004F534C"/>
    <w:rsid w:val="004F5577"/>
    <w:rsid w:val="004F5B74"/>
    <w:rsid w:val="004F5B8A"/>
    <w:rsid w:val="004F69C7"/>
    <w:rsid w:val="004F6CC8"/>
    <w:rsid w:val="004F6D39"/>
    <w:rsid w:val="004F6DCE"/>
    <w:rsid w:val="004F6F8D"/>
    <w:rsid w:val="004F7603"/>
    <w:rsid w:val="00500113"/>
    <w:rsid w:val="00500656"/>
    <w:rsid w:val="005008BF"/>
    <w:rsid w:val="00501795"/>
    <w:rsid w:val="005030F3"/>
    <w:rsid w:val="0050396A"/>
    <w:rsid w:val="00503E6E"/>
    <w:rsid w:val="005043E4"/>
    <w:rsid w:val="0050526A"/>
    <w:rsid w:val="00505393"/>
    <w:rsid w:val="005063CE"/>
    <w:rsid w:val="00506554"/>
    <w:rsid w:val="00510D16"/>
    <w:rsid w:val="00511242"/>
    <w:rsid w:val="00511535"/>
    <w:rsid w:val="0051190D"/>
    <w:rsid w:val="00511D8A"/>
    <w:rsid w:val="005122CA"/>
    <w:rsid w:val="005126EB"/>
    <w:rsid w:val="00513C8D"/>
    <w:rsid w:val="00515572"/>
    <w:rsid w:val="005157F5"/>
    <w:rsid w:val="005165E7"/>
    <w:rsid w:val="005168E1"/>
    <w:rsid w:val="00516939"/>
    <w:rsid w:val="00516E7F"/>
    <w:rsid w:val="00517057"/>
    <w:rsid w:val="005173B4"/>
    <w:rsid w:val="005173B7"/>
    <w:rsid w:val="00517EA1"/>
    <w:rsid w:val="00520A3D"/>
    <w:rsid w:val="00520A64"/>
    <w:rsid w:val="005218DE"/>
    <w:rsid w:val="005224C3"/>
    <w:rsid w:val="005228DC"/>
    <w:rsid w:val="00522B19"/>
    <w:rsid w:val="00522B78"/>
    <w:rsid w:val="00523BCD"/>
    <w:rsid w:val="00524025"/>
    <w:rsid w:val="00524269"/>
    <w:rsid w:val="005245B7"/>
    <w:rsid w:val="00524AAD"/>
    <w:rsid w:val="00524B34"/>
    <w:rsid w:val="00525138"/>
    <w:rsid w:val="005256A3"/>
    <w:rsid w:val="005260D0"/>
    <w:rsid w:val="00526110"/>
    <w:rsid w:val="00526147"/>
    <w:rsid w:val="00526431"/>
    <w:rsid w:val="005266B7"/>
    <w:rsid w:val="00526709"/>
    <w:rsid w:val="00526967"/>
    <w:rsid w:val="00526A57"/>
    <w:rsid w:val="00527759"/>
    <w:rsid w:val="00527B73"/>
    <w:rsid w:val="00527C7C"/>
    <w:rsid w:val="00527F8D"/>
    <w:rsid w:val="00530767"/>
    <w:rsid w:val="005316CF"/>
    <w:rsid w:val="005327D2"/>
    <w:rsid w:val="00532C70"/>
    <w:rsid w:val="005332C4"/>
    <w:rsid w:val="00533E0F"/>
    <w:rsid w:val="00534408"/>
    <w:rsid w:val="0053470E"/>
    <w:rsid w:val="00535381"/>
    <w:rsid w:val="005354DC"/>
    <w:rsid w:val="00535BBC"/>
    <w:rsid w:val="00535C16"/>
    <w:rsid w:val="00536123"/>
    <w:rsid w:val="005362D3"/>
    <w:rsid w:val="00536D4A"/>
    <w:rsid w:val="005378ED"/>
    <w:rsid w:val="00537C42"/>
    <w:rsid w:val="0054035C"/>
    <w:rsid w:val="005405DE"/>
    <w:rsid w:val="00540E91"/>
    <w:rsid w:val="005418B5"/>
    <w:rsid w:val="00541C26"/>
    <w:rsid w:val="00542019"/>
    <w:rsid w:val="00543886"/>
    <w:rsid w:val="005439C9"/>
    <w:rsid w:val="005441FF"/>
    <w:rsid w:val="0054462C"/>
    <w:rsid w:val="00544767"/>
    <w:rsid w:val="0054501F"/>
    <w:rsid w:val="00545846"/>
    <w:rsid w:val="005459ED"/>
    <w:rsid w:val="00545B8E"/>
    <w:rsid w:val="0054653D"/>
    <w:rsid w:val="00546565"/>
    <w:rsid w:val="00546F0E"/>
    <w:rsid w:val="005470C6"/>
    <w:rsid w:val="005501E6"/>
    <w:rsid w:val="00551288"/>
    <w:rsid w:val="00552051"/>
    <w:rsid w:val="00552A25"/>
    <w:rsid w:val="00552B54"/>
    <w:rsid w:val="0055300F"/>
    <w:rsid w:val="00555729"/>
    <w:rsid w:val="005558CC"/>
    <w:rsid w:val="00555D89"/>
    <w:rsid w:val="00556AD1"/>
    <w:rsid w:val="005572A5"/>
    <w:rsid w:val="00557322"/>
    <w:rsid w:val="005600E8"/>
    <w:rsid w:val="0056077A"/>
    <w:rsid w:val="00563A5C"/>
    <w:rsid w:val="00563B2F"/>
    <w:rsid w:val="00564025"/>
    <w:rsid w:val="00564D4B"/>
    <w:rsid w:val="00564D50"/>
    <w:rsid w:val="00565A48"/>
    <w:rsid w:val="00565FAE"/>
    <w:rsid w:val="00566F99"/>
    <w:rsid w:val="00567A32"/>
    <w:rsid w:val="005702C0"/>
    <w:rsid w:val="0057049D"/>
    <w:rsid w:val="00570650"/>
    <w:rsid w:val="00570DEB"/>
    <w:rsid w:val="00571A27"/>
    <w:rsid w:val="00572202"/>
    <w:rsid w:val="0057249E"/>
    <w:rsid w:val="00572B4E"/>
    <w:rsid w:val="00572CA8"/>
    <w:rsid w:val="005734E7"/>
    <w:rsid w:val="005745EC"/>
    <w:rsid w:val="00574C0E"/>
    <w:rsid w:val="00575000"/>
    <w:rsid w:val="00576A21"/>
    <w:rsid w:val="00577A43"/>
    <w:rsid w:val="00577B79"/>
    <w:rsid w:val="0058091B"/>
    <w:rsid w:val="00581767"/>
    <w:rsid w:val="00582043"/>
    <w:rsid w:val="00582083"/>
    <w:rsid w:val="005822C4"/>
    <w:rsid w:val="0058232F"/>
    <w:rsid w:val="005829E5"/>
    <w:rsid w:val="00582E5B"/>
    <w:rsid w:val="005833CE"/>
    <w:rsid w:val="00584097"/>
    <w:rsid w:val="00584676"/>
    <w:rsid w:val="00584ECC"/>
    <w:rsid w:val="0058579E"/>
    <w:rsid w:val="005865FA"/>
    <w:rsid w:val="005867E2"/>
    <w:rsid w:val="00590D32"/>
    <w:rsid w:val="00591728"/>
    <w:rsid w:val="00592043"/>
    <w:rsid w:val="00592155"/>
    <w:rsid w:val="00592467"/>
    <w:rsid w:val="00593E58"/>
    <w:rsid w:val="00594B39"/>
    <w:rsid w:val="00595251"/>
    <w:rsid w:val="005954B0"/>
    <w:rsid w:val="0059566A"/>
    <w:rsid w:val="005960DC"/>
    <w:rsid w:val="005968F8"/>
    <w:rsid w:val="00596E79"/>
    <w:rsid w:val="00597780"/>
    <w:rsid w:val="005A05BD"/>
    <w:rsid w:val="005A05D7"/>
    <w:rsid w:val="005A1754"/>
    <w:rsid w:val="005A17D9"/>
    <w:rsid w:val="005A2035"/>
    <w:rsid w:val="005A3B8E"/>
    <w:rsid w:val="005A4477"/>
    <w:rsid w:val="005A4852"/>
    <w:rsid w:val="005A51D2"/>
    <w:rsid w:val="005A5D59"/>
    <w:rsid w:val="005A68B9"/>
    <w:rsid w:val="005A6CB5"/>
    <w:rsid w:val="005A72DD"/>
    <w:rsid w:val="005A7815"/>
    <w:rsid w:val="005A7B14"/>
    <w:rsid w:val="005B024A"/>
    <w:rsid w:val="005B0FC6"/>
    <w:rsid w:val="005B148C"/>
    <w:rsid w:val="005B15A1"/>
    <w:rsid w:val="005B19AB"/>
    <w:rsid w:val="005B2478"/>
    <w:rsid w:val="005B3D35"/>
    <w:rsid w:val="005B450B"/>
    <w:rsid w:val="005B49EA"/>
    <w:rsid w:val="005B5243"/>
    <w:rsid w:val="005B5490"/>
    <w:rsid w:val="005B5BDC"/>
    <w:rsid w:val="005B6BC8"/>
    <w:rsid w:val="005B6C4B"/>
    <w:rsid w:val="005B6CF8"/>
    <w:rsid w:val="005B772D"/>
    <w:rsid w:val="005B7BD1"/>
    <w:rsid w:val="005C03DA"/>
    <w:rsid w:val="005C116C"/>
    <w:rsid w:val="005C1694"/>
    <w:rsid w:val="005C18D5"/>
    <w:rsid w:val="005C2354"/>
    <w:rsid w:val="005C321E"/>
    <w:rsid w:val="005C342C"/>
    <w:rsid w:val="005C3992"/>
    <w:rsid w:val="005C3D33"/>
    <w:rsid w:val="005C47BC"/>
    <w:rsid w:val="005C4E9B"/>
    <w:rsid w:val="005C5498"/>
    <w:rsid w:val="005C6267"/>
    <w:rsid w:val="005C63C3"/>
    <w:rsid w:val="005C692B"/>
    <w:rsid w:val="005C6D5B"/>
    <w:rsid w:val="005C729C"/>
    <w:rsid w:val="005C77D6"/>
    <w:rsid w:val="005C7868"/>
    <w:rsid w:val="005D0B10"/>
    <w:rsid w:val="005D0D54"/>
    <w:rsid w:val="005D0FD8"/>
    <w:rsid w:val="005D1245"/>
    <w:rsid w:val="005D12F2"/>
    <w:rsid w:val="005D1355"/>
    <w:rsid w:val="005D173E"/>
    <w:rsid w:val="005D196C"/>
    <w:rsid w:val="005D1ADD"/>
    <w:rsid w:val="005D3571"/>
    <w:rsid w:val="005D3994"/>
    <w:rsid w:val="005D59DD"/>
    <w:rsid w:val="005D6ACE"/>
    <w:rsid w:val="005D7421"/>
    <w:rsid w:val="005E0896"/>
    <w:rsid w:val="005E0A62"/>
    <w:rsid w:val="005E1103"/>
    <w:rsid w:val="005E1A0B"/>
    <w:rsid w:val="005E202A"/>
    <w:rsid w:val="005E287A"/>
    <w:rsid w:val="005E3ED5"/>
    <w:rsid w:val="005E40B2"/>
    <w:rsid w:val="005E4E1E"/>
    <w:rsid w:val="005E5187"/>
    <w:rsid w:val="005E5562"/>
    <w:rsid w:val="005E59AD"/>
    <w:rsid w:val="005E5F28"/>
    <w:rsid w:val="005E624D"/>
    <w:rsid w:val="005F020B"/>
    <w:rsid w:val="005F1CD6"/>
    <w:rsid w:val="005F2A69"/>
    <w:rsid w:val="005F2EB7"/>
    <w:rsid w:val="005F3702"/>
    <w:rsid w:val="005F3E49"/>
    <w:rsid w:val="005F42CA"/>
    <w:rsid w:val="005F57D8"/>
    <w:rsid w:val="005F5849"/>
    <w:rsid w:val="005F5A87"/>
    <w:rsid w:val="005F5CB4"/>
    <w:rsid w:val="005F6F48"/>
    <w:rsid w:val="005F707B"/>
    <w:rsid w:val="005F70EA"/>
    <w:rsid w:val="005F74B8"/>
    <w:rsid w:val="005F79D5"/>
    <w:rsid w:val="005F7A12"/>
    <w:rsid w:val="00600202"/>
    <w:rsid w:val="006002F2"/>
    <w:rsid w:val="006013CF"/>
    <w:rsid w:val="0060194B"/>
    <w:rsid w:val="006025EE"/>
    <w:rsid w:val="00602B49"/>
    <w:rsid w:val="00603325"/>
    <w:rsid w:val="00603AB5"/>
    <w:rsid w:val="00604484"/>
    <w:rsid w:val="006059F9"/>
    <w:rsid w:val="00606DFF"/>
    <w:rsid w:val="006102CA"/>
    <w:rsid w:val="00610BD3"/>
    <w:rsid w:val="00610C95"/>
    <w:rsid w:val="00612A49"/>
    <w:rsid w:val="00613096"/>
    <w:rsid w:val="0061309D"/>
    <w:rsid w:val="006134FF"/>
    <w:rsid w:val="0061450A"/>
    <w:rsid w:val="006146D7"/>
    <w:rsid w:val="00614A2E"/>
    <w:rsid w:val="00614C6E"/>
    <w:rsid w:val="00615182"/>
    <w:rsid w:val="0061562D"/>
    <w:rsid w:val="00616F7F"/>
    <w:rsid w:val="00617795"/>
    <w:rsid w:val="00621712"/>
    <w:rsid w:val="00621AAF"/>
    <w:rsid w:val="00621DE0"/>
    <w:rsid w:val="0062202E"/>
    <w:rsid w:val="006223A5"/>
    <w:rsid w:val="00622764"/>
    <w:rsid w:val="00623385"/>
    <w:rsid w:val="006248CF"/>
    <w:rsid w:val="00624A74"/>
    <w:rsid w:val="00624F53"/>
    <w:rsid w:val="00625DAE"/>
    <w:rsid w:val="00626A02"/>
    <w:rsid w:val="006307D9"/>
    <w:rsid w:val="00630A76"/>
    <w:rsid w:val="00630A8C"/>
    <w:rsid w:val="0063286D"/>
    <w:rsid w:val="00632EE9"/>
    <w:rsid w:val="00633546"/>
    <w:rsid w:val="00633919"/>
    <w:rsid w:val="00633A36"/>
    <w:rsid w:val="0063476A"/>
    <w:rsid w:val="00634A8E"/>
    <w:rsid w:val="006352E9"/>
    <w:rsid w:val="00635445"/>
    <w:rsid w:val="006357A6"/>
    <w:rsid w:val="006357B7"/>
    <w:rsid w:val="006359CE"/>
    <w:rsid w:val="00637356"/>
    <w:rsid w:val="00640BBE"/>
    <w:rsid w:val="00641713"/>
    <w:rsid w:val="006418F2"/>
    <w:rsid w:val="0064190B"/>
    <w:rsid w:val="006419EB"/>
    <w:rsid w:val="00641DA3"/>
    <w:rsid w:val="00642358"/>
    <w:rsid w:val="00642453"/>
    <w:rsid w:val="006430EA"/>
    <w:rsid w:val="00643233"/>
    <w:rsid w:val="00643837"/>
    <w:rsid w:val="00643FFB"/>
    <w:rsid w:val="0064427D"/>
    <w:rsid w:val="006443EE"/>
    <w:rsid w:val="006444B0"/>
    <w:rsid w:val="00644FB8"/>
    <w:rsid w:val="006461F3"/>
    <w:rsid w:val="006463E6"/>
    <w:rsid w:val="006469BB"/>
    <w:rsid w:val="00647654"/>
    <w:rsid w:val="0065022A"/>
    <w:rsid w:val="006509AF"/>
    <w:rsid w:val="00650A86"/>
    <w:rsid w:val="00650C7E"/>
    <w:rsid w:val="00650CD0"/>
    <w:rsid w:val="00650D13"/>
    <w:rsid w:val="0065114B"/>
    <w:rsid w:val="006522C8"/>
    <w:rsid w:val="006524D0"/>
    <w:rsid w:val="0065275B"/>
    <w:rsid w:val="006537B9"/>
    <w:rsid w:val="006538C4"/>
    <w:rsid w:val="00653D5E"/>
    <w:rsid w:val="00654216"/>
    <w:rsid w:val="00655098"/>
    <w:rsid w:val="00655F80"/>
    <w:rsid w:val="006569A8"/>
    <w:rsid w:val="006575B5"/>
    <w:rsid w:val="00657B01"/>
    <w:rsid w:val="00657F81"/>
    <w:rsid w:val="0066057C"/>
    <w:rsid w:val="00660818"/>
    <w:rsid w:val="006608D7"/>
    <w:rsid w:val="00661478"/>
    <w:rsid w:val="00661575"/>
    <w:rsid w:val="00661F6E"/>
    <w:rsid w:val="00661F85"/>
    <w:rsid w:val="006620B6"/>
    <w:rsid w:val="00663042"/>
    <w:rsid w:val="00663C4B"/>
    <w:rsid w:val="00664F0A"/>
    <w:rsid w:val="0066562B"/>
    <w:rsid w:val="00665CFC"/>
    <w:rsid w:val="006662D0"/>
    <w:rsid w:val="00666F3A"/>
    <w:rsid w:val="0067099F"/>
    <w:rsid w:val="00670CEB"/>
    <w:rsid w:val="00670E3E"/>
    <w:rsid w:val="0067147E"/>
    <w:rsid w:val="00672DCF"/>
    <w:rsid w:val="00672EA1"/>
    <w:rsid w:val="00672F92"/>
    <w:rsid w:val="0067319D"/>
    <w:rsid w:val="0067490E"/>
    <w:rsid w:val="00676BA4"/>
    <w:rsid w:val="00676D46"/>
    <w:rsid w:val="006774CD"/>
    <w:rsid w:val="00677A64"/>
    <w:rsid w:val="0068010B"/>
    <w:rsid w:val="006803AE"/>
    <w:rsid w:val="0068096D"/>
    <w:rsid w:val="00680F91"/>
    <w:rsid w:val="006813DC"/>
    <w:rsid w:val="006842B3"/>
    <w:rsid w:val="006844FF"/>
    <w:rsid w:val="00684BE4"/>
    <w:rsid w:val="00684CBE"/>
    <w:rsid w:val="00685358"/>
    <w:rsid w:val="006855B6"/>
    <w:rsid w:val="006869FF"/>
    <w:rsid w:val="006872CE"/>
    <w:rsid w:val="0068777B"/>
    <w:rsid w:val="00687CBB"/>
    <w:rsid w:val="00687E29"/>
    <w:rsid w:val="0069138E"/>
    <w:rsid w:val="00692F65"/>
    <w:rsid w:val="00693800"/>
    <w:rsid w:val="00695292"/>
    <w:rsid w:val="00696262"/>
    <w:rsid w:val="006970E6"/>
    <w:rsid w:val="00697664"/>
    <w:rsid w:val="006A01F8"/>
    <w:rsid w:val="006A0393"/>
    <w:rsid w:val="006A0AA4"/>
    <w:rsid w:val="006A16BD"/>
    <w:rsid w:val="006A2088"/>
    <w:rsid w:val="006A248D"/>
    <w:rsid w:val="006A3418"/>
    <w:rsid w:val="006A3ECC"/>
    <w:rsid w:val="006A4CDE"/>
    <w:rsid w:val="006A674C"/>
    <w:rsid w:val="006A6FF5"/>
    <w:rsid w:val="006A7340"/>
    <w:rsid w:val="006A79B9"/>
    <w:rsid w:val="006A7AEE"/>
    <w:rsid w:val="006B08DF"/>
    <w:rsid w:val="006B137A"/>
    <w:rsid w:val="006B1412"/>
    <w:rsid w:val="006B17B8"/>
    <w:rsid w:val="006B1C99"/>
    <w:rsid w:val="006B1C9C"/>
    <w:rsid w:val="006B2166"/>
    <w:rsid w:val="006B3917"/>
    <w:rsid w:val="006B3D29"/>
    <w:rsid w:val="006B4455"/>
    <w:rsid w:val="006B515F"/>
    <w:rsid w:val="006B5331"/>
    <w:rsid w:val="006B536D"/>
    <w:rsid w:val="006B6353"/>
    <w:rsid w:val="006B64AD"/>
    <w:rsid w:val="006B7086"/>
    <w:rsid w:val="006B7538"/>
    <w:rsid w:val="006B769F"/>
    <w:rsid w:val="006C003A"/>
    <w:rsid w:val="006C0737"/>
    <w:rsid w:val="006C1223"/>
    <w:rsid w:val="006C1F8C"/>
    <w:rsid w:val="006C247B"/>
    <w:rsid w:val="006C2690"/>
    <w:rsid w:val="006C2B31"/>
    <w:rsid w:val="006C3E22"/>
    <w:rsid w:val="006C4865"/>
    <w:rsid w:val="006C4CA0"/>
    <w:rsid w:val="006C51B8"/>
    <w:rsid w:val="006C6544"/>
    <w:rsid w:val="006C69D3"/>
    <w:rsid w:val="006C6B3B"/>
    <w:rsid w:val="006C755F"/>
    <w:rsid w:val="006D003B"/>
    <w:rsid w:val="006D0161"/>
    <w:rsid w:val="006D032A"/>
    <w:rsid w:val="006D0D0C"/>
    <w:rsid w:val="006D0E89"/>
    <w:rsid w:val="006D0F28"/>
    <w:rsid w:val="006D1855"/>
    <w:rsid w:val="006D1CC1"/>
    <w:rsid w:val="006D2310"/>
    <w:rsid w:val="006D237B"/>
    <w:rsid w:val="006D26C4"/>
    <w:rsid w:val="006D293E"/>
    <w:rsid w:val="006D33D5"/>
    <w:rsid w:val="006D3CE7"/>
    <w:rsid w:val="006D4289"/>
    <w:rsid w:val="006D4411"/>
    <w:rsid w:val="006D7025"/>
    <w:rsid w:val="006D748B"/>
    <w:rsid w:val="006E0311"/>
    <w:rsid w:val="006E0870"/>
    <w:rsid w:val="006E0B34"/>
    <w:rsid w:val="006E1497"/>
    <w:rsid w:val="006E1F60"/>
    <w:rsid w:val="006E2AB7"/>
    <w:rsid w:val="006E3D46"/>
    <w:rsid w:val="006E3E8F"/>
    <w:rsid w:val="006E466C"/>
    <w:rsid w:val="006E4AD8"/>
    <w:rsid w:val="006E53C0"/>
    <w:rsid w:val="006E5D50"/>
    <w:rsid w:val="006E628A"/>
    <w:rsid w:val="006E6B01"/>
    <w:rsid w:val="006E7134"/>
    <w:rsid w:val="006E7725"/>
    <w:rsid w:val="006F0008"/>
    <w:rsid w:val="006F0015"/>
    <w:rsid w:val="006F0643"/>
    <w:rsid w:val="006F0D33"/>
    <w:rsid w:val="006F1145"/>
    <w:rsid w:val="006F1E23"/>
    <w:rsid w:val="006F22DD"/>
    <w:rsid w:val="006F2C3A"/>
    <w:rsid w:val="006F341E"/>
    <w:rsid w:val="006F3A64"/>
    <w:rsid w:val="006F479F"/>
    <w:rsid w:val="006F4CDE"/>
    <w:rsid w:val="006F50AC"/>
    <w:rsid w:val="006F5305"/>
    <w:rsid w:val="006F5534"/>
    <w:rsid w:val="006F5CA2"/>
    <w:rsid w:val="006F6699"/>
    <w:rsid w:val="006F78BE"/>
    <w:rsid w:val="006F7C3F"/>
    <w:rsid w:val="00700160"/>
    <w:rsid w:val="007017C0"/>
    <w:rsid w:val="00701B36"/>
    <w:rsid w:val="00701CA0"/>
    <w:rsid w:val="00702D98"/>
    <w:rsid w:val="007031A2"/>
    <w:rsid w:val="00704410"/>
    <w:rsid w:val="00704BAF"/>
    <w:rsid w:val="00704E61"/>
    <w:rsid w:val="0070595C"/>
    <w:rsid w:val="00706615"/>
    <w:rsid w:val="0070760E"/>
    <w:rsid w:val="007109E9"/>
    <w:rsid w:val="00710E99"/>
    <w:rsid w:val="00710F11"/>
    <w:rsid w:val="007115EE"/>
    <w:rsid w:val="00711F30"/>
    <w:rsid w:val="00712555"/>
    <w:rsid w:val="007133D2"/>
    <w:rsid w:val="00713933"/>
    <w:rsid w:val="0071405C"/>
    <w:rsid w:val="007144CB"/>
    <w:rsid w:val="007149F0"/>
    <w:rsid w:val="007154DC"/>
    <w:rsid w:val="007158FB"/>
    <w:rsid w:val="00715A95"/>
    <w:rsid w:val="0071692C"/>
    <w:rsid w:val="00716BCB"/>
    <w:rsid w:val="007178F6"/>
    <w:rsid w:val="0072049B"/>
    <w:rsid w:val="00720FCC"/>
    <w:rsid w:val="00721B0D"/>
    <w:rsid w:val="00722239"/>
    <w:rsid w:val="007231A9"/>
    <w:rsid w:val="00723C3E"/>
    <w:rsid w:val="00723CE3"/>
    <w:rsid w:val="00723DDC"/>
    <w:rsid w:val="007246BF"/>
    <w:rsid w:val="0072618D"/>
    <w:rsid w:val="00726477"/>
    <w:rsid w:val="00726F24"/>
    <w:rsid w:val="00727546"/>
    <w:rsid w:val="00727F72"/>
    <w:rsid w:val="00730CC1"/>
    <w:rsid w:val="00730E8E"/>
    <w:rsid w:val="007319AA"/>
    <w:rsid w:val="0073238E"/>
    <w:rsid w:val="007326BA"/>
    <w:rsid w:val="00732FD4"/>
    <w:rsid w:val="00733786"/>
    <w:rsid w:val="0073382F"/>
    <w:rsid w:val="00733D04"/>
    <w:rsid w:val="0073446A"/>
    <w:rsid w:val="0073579C"/>
    <w:rsid w:val="00735A6F"/>
    <w:rsid w:val="00735C09"/>
    <w:rsid w:val="00737871"/>
    <w:rsid w:val="00740251"/>
    <w:rsid w:val="007410CF"/>
    <w:rsid w:val="007419CF"/>
    <w:rsid w:val="00741C23"/>
    <w:rsid w:val="00741F7A"/>
    <w:rsid w:val="007425B4"/>
    <w:rsid w:val="0074264A"/>
    <w:rsid w:val="00742C46"/>
    <w:rsid w:val="00742FFD"/>
    <w:rsid w:val="00743CB3"/>
    <w:rsid w:val="0074403A"/>
    <w:rsid w:val="0074467C"/>
    <w:rsid w:val="0074471E"/>
    <w:rsid w:val="00744FE4"/>
    <w:rsid w:val="007459C1"/>
    <w:rsid w:val="00745C1D"/>
    <w:rsid w:val="007461DE"/>
    <w:rsid w:val="00746367"/>
    <w:rsid w:val="0075061C"/>
    <w:rsid w:val="00750936"/>
    <w:rsid w:val="00750D71"/>
    <w:rsid w:val="007511B8"/>
    <w:rsid w:val="00751C7B"/>
    <w:rsid w:val="007526D7"/>
    <w:rsid w:val="0075314A"/>
    <w:rsid w:val="007536E5"/>
    <w:rsid w:val="0075387A"/>
    <w:rsid w:val="00753D58"/>
    <w:rsid w:val="007558FE"/>
    <w:rsid w:val="007559FD"/>
    <w:rsid w:val="00755D45"/>
    <w:rsid w:val="00755F59"/>
    <w:rsid w:val="007579EA"/>
    <w:rsid w:val="00757EED"/>
    <w:rsid w:val="00760693"/>
    <w:rsid w:val="00760A99"/>
    <w:rsid w:val="0076194D"/>
    <w:rsid w:val="00761964"/>
    <w:rsid w:val="007620BA"/>
    <w:rsid w:val="00762E46"/>
    <w:rsid w:val="00762FE3"/>
    <w:rsid w:val="00763411"/>
    <w:rsid w:val="00763C6D"/>
    <w:rsid w:val="0076483F"/>
    <w:rsid w:val="00764BC6"/>
    <w:rsid w:val="007653C7"/>
    <w:rsid w:val="0076582F"/>
    <w:rsid w:val="00765BAF"/>
    <w:rsid w:val="00765C98"/>
    <w:rsid w:val="007660AC"/>
    <w:rsid w:val="007667DD"/>
    <w:rsid w:val="00766B79"/>
    <w:rsid w:val="00766DC8"/>
    <w:rsid w:val="00767160"/>
    <w:rsid w:val="00767773"/>
    <w:rsid w:val="00767851"/>
    <w:rsid w:val="00767F45"/>
    <w:rsid w:val="007704EE"/>
    <w:rsid w:val="007705DB"/>
    <w:rsid w:val="00770AFC"/>
    <w:rsid w:val="007711E2"/>
    <w:rsid w:val="00771540"/>
    <w:rsid w:val="0077420D"/>
    <w:rsid w:val="00774E95"/>
    <w:rsid w:val="0077553C"/>
    <w:rsid w:val="00775566"/>
    <w:rsid w:val="007757DF"/>
    <w:rsid w:val="007758CB"/>
    <w:rsid w:val="00776005"/>
    <w:rsid w:val="0077663B"/>
    <w:rsid w:val="00776F64"/>
    <w:rsid w:val="00780D5F"/>
    <w:rsid w:val="00781A03"/>
    <w:rsid w:val="00781C28"/>
    <w:rsid w:val="00781CC8"/>
    <w:rsid w:val="007828B1"/>
    <w:rsid w:val="00782A9E"/>
    <w:rsid w:val="00783A4F"/>
    <w:rsid w:val="00783DED"/>
    <w:rsid w:val="00784574"/>
    <w:rsid w:val="00784F42"/>
    <w:rsid w:val="00785A3B"/>
    <w:rsid w:val="007868B7"/>
    <w:rsid w:val="0078714A"/>
    <w:rsid w:val="00787418"/>
    <w:rsid w:val="00787FF3"/>
    <w:rsid w:val="007900B8"/>
    <w:rsid w:val="00790232"/>
    <w:rsid w:val="007907FE"/>
    <w:rsid w:val="00791897"/>
    <w:rsid w:val="00791A6C"/>
    <w:rsid w:val="0079212D"/>
    <w:rsid w:val="00792143"/>
    <w:rsid w:val="00792210"/>
    <w:rsid w:val="007933A2"/>
    <w:rsid w:val="007942D1"/>
    <w:rsid w:val="00796D5E"/>
    <w:rsid w:val="00797489"/>
    <w:rsid w:val="007A0205"/>
    <w:rsid w:val="007A08CC"/>
    <w:rsid w:val="007A1266"/>
    <w:rsid w:val="007A149D"/>
    <w:rsid w:val="007A15BD"/>
    <w:rsid w:val="007A2317"/>
    <w:rsid w:val="007A2B90"/>
    <w:rsid w:val="007A3B3B"/>
    <w:rsid w:val="007A423B"/>
    <w:rsid w:val="007A4B85"/>
    <w:rsid w:val="007A50CC"/>
    <w:rsid w:val="007A50DB"/>
    <w:rsid w:val="007A54C2"/>
    <w:rsid w:val="007A556C"/>
    <w:rsid w:val="007A67D9"/>
    <w:rsid w:val="007A6A6F"/>
    <w:rsid w:val="007A705B"/>
    <w:rsid w:val="007A76D6"/>
    <w:rsid w:val="007A7903"/>
    <w:rsid w:val="007A79B6"/>
    <w:rsid w:val="007A7F7C"/>
    <w:rsid w:val="007B064E"/>
    <w:rsid w:val="007B0E3A"/>
    <w:rsid w:val="007B10F6"/>
    <w:rsid w:val="007B149B"/>
    <w:rsid w:val="007B1639"/>
    <w:rsid w:val="007B1D3F"/>
    <w:rsid w:val="007B1EE8"/>
    <w:rsid w:val="007B2276"/>
    <w:rsid w:val="007B29DC"/>
    <w:rsid w:val="007B3936"/>
    <w:rsid w:val="007B458A"/>
    <w:rsid w:val="007B4C5F"/>
    <w:rsid w:val="007B5864"/>
    <w:rsid w:val="007B6492"/>
    <w:rsid w:val="007B652F"/>
    <w:rsid w:val="007B6C7F"/>
    <w:rsid w:val="007B7D93"/>
    <w:rsid w:val="007C10A4"/>
    <w:rsid w:val="007C11D4"/>
    <w:rsid w:val="007C1402"/>
    <w:rsid w:val="007C1680"/>
    <w:rsid w:val="007C1EB0"/>
    <w:rsid w:val="007C261D"/>
    <w:rsid w:val="007C3493"/>
    <w:rsid w:val="007C3E9D"/>
    <w:rsid w:val="007C3F4C"/>
    <w:rsid w:val="007C444C"/>
    <w:rsid w:val="007C4693"/>
    <w:rsid w:val="007C4C4A"/>
    <w:rsid w:val="007C5B65"/>
    <w:rsid w:val="007C5FA0"/>
    <w:rsid w:val="007C6F8D"/>
    <w:rsid w:val="007C704B"/>
    <w:rsid w:val="007C72EB"/>
    <w:rsid w:val="007C7439"/>
    <w:rsid w:val="007D015F"/>
    <w:rsid w:val="007D01DB"/>
    <w:rsid w:val="007D04DB"/>
    <w:rsid w:val="007D0C92"/>
    <w:rsid w:val="007D0F0B"/>
    <w:rsid w:val="007D1377"/>
    <w:rsid w:val="007D23CE"/>
    <w:rsid w:val="007D2EFE"/>
    <w:rsid w:val="007D3431"/>
    <w:rsid w:val="007D36AA"/>
    <w:rsid w:val="007D3FA9"/>
    <w:rsid w:val="007D4449"/>
    <w:rsid w:val="007D53BF"/>
    <w:rsid w:val="007D5496"/>
    <w:rsid w:val="007D7196"/>
    <w:rsid w:val="007D771E"/>
    <w:rsid w:val="007E02ED"/>
    <w:rsid w:val="007E0BCA"/>
    <w:rsid w:val="007E0F2E"/>
    <w:rsid w:val="007E106E"/>
    <w:rsid w:val="007E1450"/>
    <w:rsid w:val="007E233F"/>
    <w:rsid w:val="007E2D15"/>
    <w:rsid w:val="007E300C"/>
    <w:rsid w:val="007E50BE"/>
    <w:rsid w:val="007E6098"/>
    <w:rsid w:val="007E639F"/>
    <w:rsid w:val="007E63BF"/>
    <w:rsid w:val="007E679B"/>
    <w:rsid w:val="007E6973"/>
    <w:rsid w:val="007E69FE"/>
    <w:rsid w:val="007E719A"/>
    <w:rsid w:val="007E7525"/>
    <w:rsid w:val="007E77E8"/>
    <w:rsid w:val="007E7B96"/>
    <w:rsid w:val="007E7DBF"/>
    <w:rsid w:val="007F026E"/>
    <w:rsid w:val="007F0AC7"/>
    <w:rsid w:val="007F10DF"/>
    <w:rsid w:val="007F1238"/>
    <w:rsid w:val="007F1CD5"/>
    <w:rsid w:val="007F30BD"/>
    <w:rsid w:val="007F3120"/>
    <w:rsid w:val="007F4449"/>
    <w:rsid w:val="007F4D22"/>
    <w:rsid w:val="007F4F52"/>
    <w:rsid w:val="007F56D4"/>
    <w:rsid w:val="007F572F"/>
    <w:rsid w:val="007F5D9A"/>
    <w:rsid w:val="007F68C0"/>
    <w:rsid w:val="007F6C50"/>
    <w:rsid w:val="007F722B"/>
    <w:rsid w:val="007F7BDD"/>
    <w:rsid w:val="00801898"/>
    <w:rsid w:val="00801B21"/>
    <w:rsid w:val="00802137"/>
    <w:rsid w:val="008023F3"/>
    <w:rsid w:val="00802549"/>
    <w:rsid w:val="0080374C"/>
    <w:rsid w:val="00805B52"/>
    <w:rsid w:val="00805E51"/>
    <w:rsid w:val="0080610E"/>
    <w:rsid w:val="008070EB"/>
    <w:rsid w:val="00807794"/>
    <w:rsid w:val="00807A6C"/>
    <w:rsid w:val="00807FFD"/>
    <w:rsid w:val="0081028E"/>
    <w:rsid w:val="0081057F"/>
    <w:rsid w:val="008109C6"/>
    <w:rsid w:val="00812988"/>
    <w:rsid w:val="00812CD6"/>
    <w:rsid w:val="00814E8B"/>
    <w:rsid w:val="00814F43"/>
    <w:rsid w:val="00815008"/>
    <w:rsid w:val="00816928"/>
    <w:rsid w:val="00817FF0"/>
    <w:rsid w:val="00820160"/>
    <w:rsid w:val="0082074C"/>
    <w:rsid w:val="00820D02"/>
    <w:rsid w:val="00821E5A"/>
    <w:rsid w:val="00821F95"/>
    <w:rsid w:val="00822C53"/>
    <w:rsid w:val="00823198"/>
    <w:rsid w:val="008234E1"/>
    <w:rsid w:val="00823561"/>
    <w:rsid w:val="008236F4"/>
    <w:rsid w:val="00823AFD"/>
    <w:rsid w:val="008244E4"/>
    <w:rsid w:val="00824601"/>
    <w:rsid w:val="00824B50"/>
    <w:rsid w:val="00825CB4"/>
    <w:rsid w:val="00825DE4"/>
    <w:rsid w:val="00826F53"/>
    <w:rsid w:val="0082719E"/>
    <w:rsid w:val="008272E0"/>
    <w:rsid w:val="00827742"/>
    <w:rsid w:val="00827856"/>
    <w:rsid w:val="008279E6"/>
    <w:rsid w:val="00827AE8"/>
    <w:rsid w:val="00827D1E"/>
    <w:rsid w:val="00830CB3"/>
    <w:rsid w:val="00830D2B"/>
    <w:rsid w:val="00830F68"/>
    <w:rsid w:val="008313F7"/>
    <w:rsid w:val="008322C3"/>
    <w:rsid w:val="008355CB"/>
    <w:rsid w:val="00835B11"/>
    <w:rsid w:val="00836199"/>
    <w:rsid w:val="00836297"/>
    <w:rsid w:val="00836A45"/>
    <w:rsid w:val="008376D3"/>
    <w:rsid w:val="00837FD8"/>
    <w:rsid w:val="00840015"/>
    <w:rsid w:val="00840381"/>
    <w:rsid w:val="00840840"/>
    <w:rsid w:val="0084198D"/>
    <w:rsid w:val="0084207E"/>
    <w:rsid w:val="00842F7F"/>
    <w:rsid w:val="008436CA"/>
    <w:rsid w:val="00843B01"/>
    <w:rsid w:val="008446CB"/>
    <w:rsid w:val="008446D2"/>
    <w:rsid w:val="00844A97"/>
    <w:rsid w:val="00844E36"/>
    <w:rsid w:val="008451D8"/>
    <w:rsid w:val="0084559A"/>
    <w:rsid w:val="00845AAF"/>
    <w:rsid w:val="00845DC4"/>
    <w:rsid w:val="008467BB"/>
    <w:rsid w:val="00847332"/>
    <w:rsid w:val="00847BAA"/>
    <w:rsid w:val="0085065B"/>
    <w:rsid w:val="00850C49"/>
    <w:rsid w:val="00850E6F"/>
    <w:rsid w:val="00851390"/>
    <w:rsid w:val="00851393"/>
    <w:rsid w:val="00851AC0"/>
    <w:rsid w:val="00851B52"/>
    <w:rsid w:val="0085213C"/>
    <w:rsid w:val="0085229E"/>
    <w:rsid w:val="008524D0"/>
    <w:rsid w:val="00852CAB"/>
    <w:rsid w:val="008531E1"/>
    <w:rsid w:val="008534CE"/>
    <w:rsid w:val="00853D27"/>
    <w:rsid w:val="00853FD9"/>
    <w:rsid w:val="00855942"/>
    <w:rsid w:val="00855BAF"/>
    <w:rsid w:val="00855CFC"/>
    <w:rsid w:val="00856E28"/>
    <w:rsid w:val="008576D2"/>
    <w:rsid w:val="00860E1F"/>
    <w:rsid w:val="00860E64"/>
    <w:rsid w:val="00863A77"/>
    <w:rsid w:val="008647A5"/>
    <w:rsid w:val="008653D0"/>
    <w:rsid w:val="00865729"/>
    <w:rsid w:val="00865A1F"/>
    <w:rsid w:val="00865B20"/>
    <w:rsid w:val="00866A4E"/>
    <w:rsid w:val="00866EB5"/>
    <w:rsid w:val="00867881"/>
    <w:rsid w:val="00867F48"/>
    <w:rsid w:val="008700B8"/>
    <w:rsid w:val="0087012C"/>
    <w:rsid w:val="00871366"/>
    <w:rsid w:val="00871406"/>
    <w:rsid w:val="00871755"/>
    <w:rsid w:val="00871BAE"/>
    <w:rsid w:val="00871F87"/>
    <w:rsid w:val="00872990"/>
    <w:rsid w:val="00872E4E"/>
    <w:rsid w:val="008734D2"/>
    <w:rsid w:val="00873A13"/>
    <w:rsid w:val="00873CD8"/>
    <w:rsid w:val="00873F65"/>
    <w:rsid w:val="0087412C"/>
    <w:rsid w:val="00874B0E"/>
    <w:rsid w:val="00874E4A"/>
    <w:rsid w:val="0087507A"/>
    <w:rsid w:val="00875B35"/>
    <w:rsid w:val="00875F8E"/>
    <w:rsid w:val="008764D3"/>
    <w:rsid w:val="008768DC"/>
    <w:rsid w:val="00877690"/>
    <w:rsid w:val="008776DD"/>
    <w:rsid w:val="0088016A"/>
    <w:rsid w:val="0088067E"/>
    <w:rsid w:val="00881924"/>
    <w:rsid w:val="00881F90"/>
    <w:rsid w:val="0088280F"/>
    <w:rsid w:val="00882A3D"/>
    <w:rsid w:val="00883DD2"/>
    <w:rsid w:val="0088416F"/>
    <w:rsid w:val="008842FC"/>
    <w:rsid w:val="00884707"/>
    <w:rsid w:val="00884D4B"/>
    <w:rsid w:val="00884FBC"/>
    <w:rsid w:val="008856A0"/>
    <w:rsid w:val="00886310"/>
    <w:rsid w:val="00887CD6"/>
    <w:rsid w:val="0089020E"/>
    <w:rsid w:val="008904D1"/>
    <w:rsid w:val="0089059D"/>
    <w:rsid w:val="00891151"/>
    <w:rsid w:val="008913FF"/>
    <w:rsid w:val="00891461"/>
    <w:rsid w:val="00891584"/>
    <w:rsid w:val="00891D85"/>
    <w:rsid w:val="00891F39"/>
    <w:rsid w:val="0089286C"/>
    <w:rsid w:val="008939E8"/>
    <w:rsid w:val="0089406C"/>
    <w:rsid w:val="0089442B"/>
    <w:rsid w:val="00894E00"/>
    <w:rsid w:val="00895E69"/>
    <w:rsid w:val="00895FB2"/>
    <w:rsid w:val="00896054"/>
    <w:rsid w:val="00896071"/>
    <w:rsid w:val="0089739D"/>
    <w:rsid w:val="008A2928"/>
    <w:rsid w:val="008A3050"/>
    <w:rsid w:val="008A33B6"/>
    <w:rsid w:val="008A3713"/>
    <w:rsid w:val="008A3E3D"/>
    <w:rsid w:val="008A43B3"/>
    <w:rsid w:val="008A4C31"/>
    <w:rsid w:val="008A5046"/>
    <w:rsid w:val="008A6903"/>
    <w:rsid w:val="008A6E06"/>
    <w:rsid w:val="008A71DA"/>
    <w:rsid w:val="008A7763"/>
    <w:rsid w:val="008A799B"/>
    <w:rsid w:val="008A7B5E"/>
    <w:rsid w:val="008B0091"/>
    <w:rsid w:val="008B055C"/>
    <w:rsid w:val="008B06D6"/>
    <w:rsid w:val="008B078C"/>
    <w:rsid w:val="008B24CA"/>
    <w:rsid w:val="008B2BC9"/>
    <w:rsid w:val="008B31CA"/>
    <w:rsid w:val="008B32F8"/>
    <w:rsid w:val="008B337A"/>
    <w:rsid w:val="008B4544"/>
    <w:rsid w:val="008B4941"/>
    <w:rsid w:val="008B4DDB"/>
    <w:rsid w:val="008B4EB9"/>
    <w:rsid w:val="008B5829"/>
    <w:rsid w:val="008B5FE1"/>
    <w:rsid w:val="008B6C9E"/>
    <w:rsid w:val="008B6CE2"/>
    <w:rsid w:val="008B724A"/>
    <w:rsid w:val="008C0231"/>
    <w:rsid w:val="008C0CB6"/>
    <w:rsid w:val="008C19B4"/>
    <w:rsid w:val="008C1B8D"/>
    <w:rsid w:val="008C2314"/>
    <w:rsid w:val="008C24FE"/>
    <w:rsid w:val="008C253B"/>
    <w:rsid w:val="008C2876"/>
    <w:rsid w:val="008C289C"/>
    <w:rsid w:val="008C28A8"/>
    <w:rsid w:val="008C4002"/>
    <w:rsid w:val="008C447D"/>
    <w:rsid w:val="008C44DA"/>
    <w:rsid w:val="008C56C2"/>
    <w:rsid w:val="008C6A43"/>
    <w:rsid w:val="008C76F9"/>
    <w:rsid w:val="008D15D7"/>
    <w:rsid w:val="008D16EE"/>
    <w:rsid w:val="008D268A"/>
    <w:rsid w:val="008D2CDC"/>
    <w:rsid w:val="008D32C9"/>
    <w:rsid w:val="008D38D6"/>
    <w:rsid w:val="008D3B26"/>
    <w:rsid w:val="008D3C44"/>
    <w:rsid w:val="008D3E0E"/>
    <w:rsid w:val="008D3E24"/>
    <w:rsid w:val="008D4509"/>
    <w:rsid w:val="008D528C"/>
    <w:rsid w:val="008D66B9"/>
    <w:rsid w:val="008D749E"/>
    <w:rsid w:val="008D77F1"/>
    <w:rsid w:val="008D7D5D"/>
    <w:rsid w:val="008E089E"/>
    <w:rsid w:val="008E14A1"/>
    <w:rsid w:val="008E1A85"/>
    <w:rsid w:val="008E2E72"/>
    <w:rsid w:val="008E35CB"/>
    <w:rsid w:val="008E4A60"/>
    <w:rsid w:val="008E5039"/>
    <w:rsid w:val="008E5265"/>
    <w:rsid w:val="008E53C0"/>
    <w:rsid w:val="008E620A"/>
    <w:rsid w:val="008E63B1"/>
    <w:rsid w:val="008E66F1"/>
    <w:rsid w:val="008E71A9"/>
    <w:rsid w:val="008E7731"/>
    <w:rsid w:val="008E7A2E"/>
    <w:rsid w:val="008E7DDD"/>
    <w:rsid w:val="008F0028"/>
    <w:rsid w:val="008F02AF"/>
    <w:rsid w:val="008F093F"/>
    <w:rsid w:val="008F112A"/>
    <w:rsid w:val="008F1A3E"/>
    <w:rsid w:val="008F1C32"/>
    <w:rsid w:val="008F2538"/>
    <w:rsid w:val="008F25A3"/>
    <w:rsid w:val="008F26BA"/>
    <w:rsid w:val="008F2F7F"/>
    <w:rsid w:val="008F34AB"/>
    <w:rsid w:val="008F3BBD"/>
    <w:rsid w:val="008F3BC7"/>
    <w:rsid w:val="008F45E6"/>
    <w:rsid w:val="008F4986"/>
    <w:rsid w:val="008F5269"/>
    <w:rsid w:val="008F52E0"/>
    <w:rsid w:val="008F5563"/>
    <w:rsid w:val="008F5A5E"/>
    <w:rsid w:val="008F638E"/>
    <w:rsid w:val="008F67D0"/>
    <w:rsid w:val="008F6A56"/>
    <w:rsid w:val="008F6E8E"/>
    <w:rsid w:val="008F7152"/>
    <w:rsid w:val="008F7337"/>
    <w:rsid w:val="00900246"/>
    <w:rsid w:val="00901524"/>
    <w:rsid w:val="00901D28"/>
    <w:rsid w:val="00902CC8"/>
    <w:rsid w:val="00903051"/>
    <w:rsid w:val="009030C1"/>
    <w:rsid w:val="00903DB9"/>
    <w:rsid w:val="009041C0"/>
    <w:rsid w:val="009048E4"/>
    <w:rsid w:val="00905EEC"/>
    <w:rsid w:val="00906316"/>
    <w:rsid w:val="009064F0"/>
    <w:rsid w:val="00906C4D"/>
    <w:rsid w:val="00907227"/>
    <w:rsid w:val="00907579"/>
    <w:rsid w:val="00907792"/>
    <w:rsid w:val="00907845"/>
    <w:rsid w:val="009079CD"/>
    <w:rsid w:val="009079DE"/>
    <w:rsid w:val="00907DD6"/>
    <w:rsid w:val="0091001A"/>
    <w:rsid w:val="009100A9"/>
    <w:rsid w:val="0091069D"/>
    <w:rsid w:val="009111C9"/>
    <w:rsid w:val="009111E2"/>
    <w:rsid w:val="00911804"/>
    <w:rsid w:val="00911AA1"/>
    <w:rsid w:val="00912298"/>
    <w:rsid w:val="00912590"/>
    <w:rsid w:val="00912FC0"/>
    <w:rsid w:val="00915142"/>
    <w:rsid w:val="009152F2"/>
    <w:rsid w:val="00915DF1"/>
    <w:rsid w:val="009164C1"/>
    <w:rsid w:val="00917085"/>
    <w:rsid w:val="009173B6"/>
    <w:rsid w:val="009206EB"/>
    <w:rsid w:val="00921014"/>
    <w:rsid w:val="0092110D"/>
    <w:rsid w:val="00921D0D"/>
    <w:rsid w:val="00921ED3"/>
    <w:rsid w:val="009224C0"/>
    <w:rsid w:val="00922740"/>
    <w:rsid w:val="00922DC4"/>
    <w:rsid w:val="00923979"/>
    <w:rsid w:val="00924290"/>
    <w:rsid w:val="00925169"/>
    <w:rsid w:val="00925546"/>
    <w:rsid w:val="00925DE0"/>
    <w:rsid w:val="009307AF"/>
    <w:rsid w:val="009307B7"/>
    <w:rsid w:val="00930810"/>
    <w:rsid w:val="00930A4D"/>
    <w:rsid w:val="00930E32"/>
    <w:rsid w:val="00931766"/>
    <w:rsid w:val="009317D9"/>
    <w:rsid w:val="00931843"/>
    <w:rsid w:val="0093186F"/>
    <w:rsid w:val="009323A6"/>
    <w:rsid w:val="0093250D"/>
    <w:rsid w:val="0093267D"/>
    <w:rsid w:val="00932962"/>
    <w:rsid w:val="009337A5"/>
    <w:rsid w:val="0093453C"/>
    <w:rsid w:val="009349A4"/>
    <w:rsid w:val="00934A1F"/>
    <w:rsid w:val="009367BF"/>
    <w:rsid w:val="00936C37"/>
    <w:rsid w:val="00936CA4"/>
    <w:rsid w:val="009400AE"/>
    <w:rsid w:val="00940CAC"/>
    <w:rsid w:val="009410D6"/>
    <w:rsid w:val="00941566"/>
    <w:rsid w:val="0094215D"/>
    <w:rsid w:val="00942177"/>
    <w:rsid w:val="00942C6F"/>
    <w:rsid w:val="00943014"/>
    <w:rsid w:val="009435C2"/>
    <w:rsid w:val="0094396E"/>
    <w:rsid w:val="00944579"/>
    <w:rsid w:val="00944FDB"/>
    <w:rsid w:val="00945334"/>
    <w:rsid w:val="00945A09"/>
    <w:rsid w:val="00946A35"/>
    <w:rsid w:val="00947658"/>
    <w:rsid w:val="00950777"/>
    <w:rsid w:val="00951070"/>
    <w:rsid w:val="00951438"/>
    <w:rsid w:val="00953181"/>
    <w:rsid w:val="009532D7"/>
    <w:rsid w:val="009552C0"/>
    <w:rsid w:val="00955A97"/>
    <w:rsid w:val="00955AFF"/>
    <w:rsid w:val="00955C5D"/>
    <w:rsid w:val="0095670F"/>
    <w:rsid w:val="00957049"/>
    <w:rsid w:val="009574EF"/>
    <w:rsid w:val="009578AC"/>
    <w:rsid w:val="00960142"/>
    <w:rsid w:val="00960625"/>
    <w:rsid w:val="0096084D"/>
    <w:rsid w:val="00960A1D"/>
    <w:rsid w:val="009613B2"/>
    <w:rsid w:val="0096140B"/>
    <w:rsid w:val="009615FC"/>
    <w:rsid w:val="00961C36"/>
    <w:rsid w:val="00961CE0"/>
    <w:rsid w:val="00961D1E"/>
    <w:rsid w:val="0096337A"/>
    <w:rsid w:val="00963594"/>
    <w:rsid w:val="009646D7"/>
    <w:rsid w:val="00964F99"/>
    <w:rsid w:val="0096507C"/>
    <w:rsid w:val="009650E0"/>
    <w:rsid w:val="009660EA"/>
    <w:rsid w:val="0096618E"/>
    <w:rsid w:val="00966FA3"/>
    <w:rsid w:val="009671A3"/>
    <w:rsid w:val="00967B8A"/>
    <w:rsid w:val="00967EDB"/>
    <w:rsid w:val="00970369"/>
    <w:rsid w:val="00970A49"/>
    <w:rsid w:val="00970C60"/>
    <w:rsid w:val="0097105A"/>
    <w:rsid w:val="00971A5F"/>
    <w:rsid w:val="00972518"/>
    <w:rsid w:val="00972A88"/>
    <w:rsid w:val="00973052"/>
    <w:rsid w:val="00973432"/>
    <w:rsid w:val="00973556"/>
    <w:rsid w:val="009741DE"/>
    <w:rsid w:val="00974B27"/>
    <w:rsid w:val="00975010"/>
    <w:rsid w:val="00975F92"/>
    <w:rsid w:val="009766A0"/>
    <w:rsid w:val="00976DA4"/>
    <w:rsid w:val="00976ED9"/>
    <w:rsid w:val="009778DF"/>
    <w:rsid w:val="00980085"/>
    <w:rsid w:val="009809BE"/>
    <w:rsid w:val="0098167C"/>
    <w:rsid w:val="00982CC4"/>
    <w:rsid w:val="009830C3"/>
    <w:rsid w:val="00983886"/>
    <w:rsid w:val="00985460"/>
    <w:rsid w:val="00985C8E"/>
    <w:rsid w:val="009863B4"/>
    <w:rsid w:val="00986E8E"/>
    <w:rsid w:val="00986FF0"/>
    <w:rsid w:val="00987355"/>
    <w:rsid w:val="009875DF"/>
    <w:rsid w:val="009906CD"/>
    <w:rsid w:val="009909AC"/>
    <w:rsid w:val="00991B3D"/>
    <w:rsid w:val="00991C5F"/>
    <w:rsid w:val="0099324F"/>
    <w:rsid w:val="009939FF"/>
    <w:rsid w:val="00993BA1"/>
    <w:rsid w:val="0099422E"/>
    <w:rsid w:val="00994695"/>
    <w:rsid w:val="00994989"/>
    <w:rsid w:val="00994CEA"/>
    <w:rsid w:val="00995D11"/>
    <w:rsid w:val="00997178"/>
    <w:rsid w:val="00997997"/>
    <w:rsid w:val="009A0C7A"/>
    <w:rsid w:val="009A1778"/>
    <w:rsid w:val="009A2569"/>
    <w:rsid w:val="009A2960"/>
    <w:rsid w:val="009A299F"/>
    <w:rsid w:val="009A4BFB"/>
    <w:rsid w:val="009A4D1D"/>
    <w:rsid w:val="009A531F"/>
    <w:rsid w:val="009A5F4A"/>
    <w:rsid w:val="009A6968"/>
    <w:rsid w:val="009A6C87"/>
    <w:rsid w:val="009A76E1"/>
    <w:rsid w:val="009B0260"/>
    <w:rsid w:val="009B03B5"/>
    <w:rsid w:val="009B0A62"/>
    <w:rsid w:val="009B0E83"/>
    <w:rsid w:val="009B2544"/>
    <w:rsid w:val="009B2787"/>
    <w:rsid w:val="009B2BB7"/>
    <w:rsid w:val="009B3026"/>
    <w:rsid w:val="009B33BB"/>
    <w:rsid w:val="009B40C3"/>
    <w:rsid w:val="009B41E8"/>
    <w:rsid w:val="009B42A1"/>
    <w:rsid w:val="009B44D2"/>
    <w:rsid w:val="009B59CB"/>
    <w:rsid w:val="009B648D"/>
    <w:rsid w:val="009B6BBB"/>
    <w:rsid w:val="009B6EA5"/>
    <w:rsid w:val="009B701D"/>
    <w:rsid w:val="009B7117"/>
    <w:rsid w:val="009B71CB"/>
    <w:rsid w:val="009B7A83"/>
    <w:rsid w:val="009C01D9"/>
    <w:rsid w:val="009C0DAC"/>
    <w:rsid w:val="009C25EC"/>
    <w:rsid w:val="009C4377"/>
    <w:rsid w:val="009C4B1B"/>
    <w:rsid w:val="009C5E22"/>
    <w:rsid w:val="009C5E98"/>
    <w:rsid w:val="009C695B"/>
    <w:rsid w:val="009C6EE3"/>
    <w:rsid w:val="009C7B29"/>
    <w:rsid w:val="009D035C"/>
    <w:rsid w:val="009D0606"/>
    <w:rsid w:val="009D0C01"/>
    <w:rsid w:val="009D0F16"/>
    <w:rsid w:val="009D23A7"/>
    <w:rsid w:val="009D276B"/>
    <w:rsid w:val="009D3335"/>
    <w:rsid w:val="009D3B1E"/>
    <w:rsid w:val="009D3EBD"/>
    <w:rsid w:val="009D3FCA"/>
    <w:rsid w:val="009D49BA"/>
    <w:rsid w:val="009D4EC6"/>
    <w:rsid w:val="009D55EA"/>
    <w:rsid w:val="009D562D"/>
    <w:rsid w:val="009D5922"/>
    <w:rsid w:val="009D597B"/>
    <w:rsid w:val="009D5CEE"/>
    <w:rsid w:val="009D64D8"/>
    <w:rsid w:val="009D745E"/>
    <w:rsid w:val="009D7A1F"/>
    <w:rsid w:val="009E099C"/>
    <w:rsid w:val="009E1C30"/>
    <w:rsid w:val="009E1EA9"/>
    <w:rsid w:val="009E2617"/>
    <w:rsid w:val="009E2AA5"/>
    <w:rsid w:val="009E30B5"/>
    <w:rsid w:val="009E3BEE"/>
    <w:rsid w:val="009E4764"/>
    <w:rsid w:val="009E5A82"/>
    <w:rsid w:val="009E5ACA"/>
    <w:rsid w:val="009E6315"/>
    <w:rsid w:val="009E64ED"/>
    <w:rsid w:val="009E6B06"/>
    <w:rsid w:val="009E7016"/>
    <w:rsid w:val="009F00DB"/>
    <w:rsid w:val="009F04FA"/>
    <w:rsid w:val="009F09DB"/>
    <w:rsid w:val="009F0F7D"/>
    <w:rsid w:val="009F1867"/>
    <w:rsid w:val="009F225F"/>
    <w:rsid w:val="009F25E2"/>
    <w:rsid w:val="009F2B72"/>
    <w:rsid w:val="009F2DDA"/>
    <w:rsid w:val="009F3B00"/>
    <w:rsid w:val="009F3B44"/>
    <w:rsid w:val="009F3CB7"/>
    <w:rsid w:val="009F3D24"/>
    <w:rsid w:val="009F4A9F"/>
    <w:rsid w:val="009F4CF5"/>
    <w:rsid w:val="009F4D89"/>
    <w:rsid w:val="009F57FD"/>
    <w:rsid w:val="009F5D82"/>
    <w:rsid w:val="009F5F8F"/>
    <w:rsid w:val="009F6054"/>
    <w:rsid w:val="009F7357"/>
    <w:rsid w:val="009F7C56"/>
    <w:rsid w:val="009F7DFD"/>
    <w:rsid w:val="00A00C6C"/>
    <w:rsid w:val="00A00F9B"/>
    <w:rsid w:val="00A00FAB"/>
    <w:rsid w:val="00A01375"/>
    <w:rsid w:val="00A01C11"/>
    <w:rsid w:val="00A01F03"/>
    <w:rsid w:val="00A02289"/>
    <w:rsid w:val="00A02505"/>
    <w:rsid w:val="00A04273"/>
    <w:rsid w:val="00A0437E"/>
    <w:rsid w:val="00A04897"/>
    <w:rsid w:val="00A0684B"/>
    <w:rsid w:val="00A07ABB"/>
    <w:rsid w:val="00A103FA"/>
    <w:rsid w:val="00A10BD4"/>
    <w:rsid w:val="00A10BF4"/>
    <w:rsid w:val="00A11AB0"/>
    <w:rsid w:val="00A1234E"/>
    <w:rsid w:val="00A12F01"/>
    <w:rsid w:val="00A12F51"/>
    <w:rsid w:val="00A13344"/>
    <w:rsid w:val="00A136F3"/>
    <w:rsid w:val="00A13D2F"/>
    <w:rsid w:val="00A141A7"/>
    <w:rsid w:val="00A14849"/>
    <w:rsid w:val="00A14D3C"/>
    <w:rsid w:val="00A156E7"/>
    <w:rsid w:val="00A15B9B"/>
    <w:rsid w:val="00A15BA3"/>
    <w:rsid w:val="00A16AE5"/>
    <w:rsid w:val="00A17504"/>
    <w:rsid w:val="00A17E3F"/>
    <w:rsid w:val="00A2021B"/>
    <w:rsid w:val="00A2076D"/>
    <w:rsid w:val="00A2078F"/>
    <w:rsid w:val="00A211B4"/>
    <w:rsid w:val="00A2189D"/>
    <w:rsid w:val="00A21995"/>
    <w:rsid w:val="00A21A29"/>
    <w:rsid w:val="00A21B72"/>
    <w:rsid w:val="00A224B4"/>
    <w:rsid w:val="00A23652"/>
    <w:rsid w:val="00A23E30"/>
    <w:rsid w:val="00A240B2"/>
    <w:rsid w:val="00A2437B"/>
    <w:rsid w:val="00A2562A"/>
    <w:rsid w:val="00A25742"/>
    <w:rsid w:val="00A258C0"/>
    <w:rsid w:val="00A25BDF"/>
    <w:rsid w:val="00A25D8A"/>
    <w:rsid w:val="00A26091"/>
    <w:rsid w:val="00A26169"/>
    <w:rsid w:val="00A264D3"/>
    <w:rsid w:val="00A26E4E"/>
    <w:rsid w:val="00A26E8A"/>
    <w:rsid w:val="00A27918"/>
    <w:rsid w:val="00A27C99"/>
    <w:rsid w:val="00A30A0D"/>
    <w:rsid w:val="00A30D99"/>
    <w:rsid w:val="00A314EE"/>
    <w:rsid w:val="00A31CB9"/>
    <w:rsid w:val="00A3235B"/>
    <w:rsid w:val="00A33761"/>
    <w:rsid w:val="00A3477D"/>
    <w:rsid w:val="00A34E99"/>
    <w:rsid w:val="00A350DF"/>
    <w:rsid w:val="00A35287"/>
    <w:rsid w:val="00A3536C"/>
    <w:rsid w:val="00A35426"/>
    <w:rsid w:val="00A35B5F"/>
    <w:rsid w:val="00A35EAB"/>
    <w:rsid w:val="00A363FF"/>
    <w:rsid w:val="00A368D5"/>
    <w:rsid w:val="00A36FCE"/>
    <w:rsid w:val="00A3706A"/>
    <w:rsid w:val="00A37358"/>
    <w:rsid w:val="00A376A1"/>
    <w:rsid w:val="00A37A00"/>
    <w:rsid w:val="00A37F29"/>
    <w:rsid w:val="00A40992"/>
    <w:rsid w:val="00A409F1"/>
    <w:rsid w:val="00A41B28"/>
    <w:rsid w:val="00A421EE"/>
    <w:rsid w:val="00A422C5"/>
    <w:rsid w:val="00A426A6"/>
    <w:rsid w:val="00A428EF"/>
    <w:rsid w:val="00A4318D"/>
    <w:rsid w:val="00A4387A"/>
    <w:rsid w:val="00A44D6E"/>
    <w:rsid w:val="00A4529B"/>
    <w:rsid w:val="00A45739"/>
    <w:rsid w:val="00A46083"/>
    <w:rsid w:val="00A460F3"/>
    <w:rsid w:val="00A460F6"/>
    <w:rsid w:val="00A474FF"/>
    <w:rsid w:val="00A47E84"/>
    <w:rsid w:val="00A51737"/>
    <w:rsid w:val="00A51F39"/>
    <w:rsid w:val="00A526D5"/>
    <w:rsid w:val="00A53154"/>
    <w:rsid w:val="00A53314"/>
    <w:rsid w:val="00A53DFC"/>
    <w:rsid w:val="00A54C2F"/>
    <w:rsid w:val="00A5622C"/>
    <w:rsid w:val="00A56A04"/>
    <w:rsid w:val="00A57178"/>
    <w:rsid w:val="00A609B3"/>
    <w:rsid w:val="00A61A9B"/>
    <w:rsid w:val="00A62191"/>
    <w:rsid w:val="00A62481"/>
    <w:rsid w:val="00A627C5"/>
    <w:rsid w:val="00A629F1"/>
    <w:rsid w:val="00A62EB9"/>
    <w:rsid w:val="00A636FA"/>
    <w:rsid w:val="00A638A5"/>
    <w:rsid w:val="00A638FA"/>
    <w:rsid w:val="00A63D53"/>
    <w:rsid w:val="00A63E10"/>
    <w:rsid w:val="00A64570"/>
    <w:rsid w:val="00A64C0F"/>
    <w:rsid w:val="00A64F52"/>
    <w:rsid w:val="00A66AD9"/>
    <w:rsid w:val="00A66C0A"/>
    <w:rsid w:val="00A67005"/>
    <w:rsid w:val="00A67512"/>
    <w:rsid w:val="00A67A9F"/>
    <w:rsid w:val="00A7107C"/>
    <w:rsid w:val="00A72F91"/>
    <w:rsid w:val="00A73580"/>
    <w:rsid w:val="00A748EA"/>
    <w:rsid w:val="00A74FB9"/>
    <w:rsid w:val="00A75280"/>
    <w:rsid w:val="00A75565"/>
    <w:rsid w:val="00A778B6"/>
    <w:rsid w:val="00A8050D"/>
    <w:rsid w:val="00A80647"/>
    <w:rsid w:val="00A80823"/>
    <w:rsid w:val="00A80D0A"/>
    <w:rsid w:val="00A814E6"/>
    <w:rsid w:val="00A8189B"/>
    <w:rsid w:val="00A81B99"/>
    <w:rsid w:val="00A81C3E"/>
    <w:rsid w:val="00A82290"/>
    <w:rsid w:val="00A8264E"/>
    <w:rsid w:val="00A82812"/>
    <w:rsid w:val="00A82F77"/>
    <w:rsid w:val="00A850C0"/>
    <w:rsid w:val="00A852C9"/>
    <w:rsid w:val="00A85947"/>
    <w:rsid w:val="00A85E4B"/>
    <w:rsid w:val="00A86BF6"/>
    <w:rsid w:val="00A86D75"/>
    <w:rsid w:val="00A86E32"/>
    <w:rsid w:val="00A87273"/>
    <w:rsid w:val="00A901F8"/>
    <w:rsid w:val="00A90341"/>
    <w:rsid w:val="00A90376"/>
    <w:rsid w:val="00A9075D"/>
    <w:rsid w:val="00A9182A"/>
    <w:rsid w:val="00A91B24"/>
    <w:rsid w:val="00A920D8"/>
    <w:rsid w:val="00A92167"/>
    <w:rsid w:val="00A923D1"/>
    <w:rsid w:val="00A9264B"/>
    <w:rsid w:val="00A9270A"/>
    <w:rsid w:val="00A92E6C"/>
    <w:rsid w:val="00A944B3"/>
    <w:rsid w:val="00A952BC"/>
    <w:rsid w:val="00A96272"/>
    <w:rsid w:val="00A972D2"/>
    <w:rsid w:val="00A972FE"/>
    <w:rsid w:val="00AA04D2"/>
    <w:rsid w:val="00AA05D4"/>
    <w:rsid w:val="00AA1504"/>
    <w:rsid w:val="00AA19C5"/>
    <w:rsid w:val="00AA3247"/>
    <w:rsid w:val="00AA3896"/>
    <w:rsid w:val="00AA3A51"/>
    <w:rsid w:val="00AA5A1E"/>
    <w:rsid w:val="00AA5E40"/>
    <w:rsid w:val="00AA6C77"/>
    <w:rsid w:val="00AA6D66"/>
    <w:rsid w:val="00AA73C9"/>
    <w:rsid w:val="00AA7F9C"/>
    <w:rsid w:val="00AB07FA"/>
    <w:rsid w:val="00AB0FB4"/>
    <w:rsid w:val="00AB10FB"/>
    <w:rsid w:val="00AB1830"/>
    <w:rsid w:val="00AB196D"/>
    <w:rsid w:val="00AB2732"/>
    <w:rsid w:val="00AB30C5"/>
    <w:rsid w:val="00AB3348"/>
    <w:rsid w:val="00AB3CEA"/>
    <w:rsid w:val="00AB3F37"/>
    <w:rsid w:val="00AB672A"/>
    <w:rsid w:val="00AB6C04"/>
    <w:rsid w:val="00AB6EC6"/>
    <w:rsid w:val="00AB7445"/>
    <w:rsid w:val="00AB7F90"/>
    <w:rsid w:val="00AC081F"/>
    <w:rsid w:val="00AC0CD6"/>
    <w:rsid w:val="00AC1320"/>
    <w:rsid w:val="00AC26C5"/>
    <w:rsid w:val="00AC2C9A"/>
    <w:rsid w:val="00AC4D5F"/>
    <w:rsid w:val="00AC4F88"/>
    <w:rsid w:val="00AC520D"/>
    <w:rsid w:val="00AC526C"/>
    <w:rsid w:val="00AC5330"/>
    <w:rsid w:val="00AC5D77"/>
    <w:rsid w:val="00AC61D0"/>
    <w:rsid w:val="00AC769A"/>
    <w:rsid w:val="00AD0355"/>
    <w:rsid w:val="00AD05C9"/>
    <w:rsid w:val="00AD12DA"/>
    <w:rsid w:val="00AD177C"/>
    <w:rsid w:val="00AD1DB5"/>
    <w:rsid w:val="00AD2E90"/>
    <w:rsid w:val="00AD31EB"/>
    <w:rsid w:val="00AD3F42"/>
    <w:rsid w:val="00AD4C2E"/>
    <w:rsid w:val="00AD4DFA"/>
    <w:rsid w:val="00AD4F4D"/>
    <w:rsid w:val="00AD5F36"/>
    <w:rsid w:val="00AD6AD7"/>
    <w:rsid w:val="00AD7B64"/>
    <w:rsid w:val="00AD7F94"/>
    <w:rsid w:val="00AE0211"/>
    <w:rsid w:val="00AE0E01"/>
    <w:rsid w:val="00AE16B2"/>
    <w:rsid w:val="00AE18EF"/>
    <w:rsid w:val="00AE1D2D"/>
    <w:rsid w:val="00AE25BA"/>
    <w:rsid w:val="00AE2919"/>
    <w:rsid w:val="00AE2A9A"/>
    <w:rsid w:val="00AE2B57"/>
    <w:rsid w:val="00AE309F"/>
    <w:rsid w:val="00AE3875"/>
    <w:rsid w:val="00AE4285"/>
    <w:rsid w:val="00AE4362"/>
    <w:rsid w:val="00AE49F1"/>
    <w:rsid w:val="00AE4A22"/>
    <w:rsid w:val="00AE4B5C"/>
    <w:rsid w:val="00AE7AC0"/>
    <w:rsid w:val="00AF0565"/>
    <w:rsid w:val="00AF208E"/>
    <w:rsid w:val="00AF2769"/>
    <w:rsid w:val="00AF3DBB"/>
    <w:rsid w:val="00AF4270"/>
    <w:rsid w:val="00AF5333"/>
    <w:rsid w:val="00AF5659"/>
    <w:rsid w:val="00AF5B38"/>
    <w:rsid w:val="00AF6208"/>
    <w:rsid w:val="00AF635D"/>
    <w:rsid w:val="00AF67F2"/>
    <w:rsid w:val="00AF680D"/>
    <w:rsid w:val="00AF76AD"/>
    <w:rsid w:val="00AF788A"/>
    <w:rsid w:val="00AF79F7"/>
    <w:rsid w:val="00AF7ADA"/>
    <w:rsid w:val="00AF7DC1"/>
    <w:rsid w:val="00B00630"/>
    <w:rsid w:val="00B0066A"/>
    <w:rsid w:val="00B00853"/>
    <w:rsid w:val="00B0093F"/>
    <w:rsid w:val="00B00C4C"/>
    <w:rsid w:val="00B01087"/>
    <w:rsid w:val="00B011E6"/>
    <w:rsid w:val="00B01E0A"/>
    <w:rsid w:val="00B01F95"/>
    <w:rsid w:val="00B036D3"/>
    <w:rsid w:val="00B038C7"/>
    <w:rsid w:val="00B047AE"/>
    <w:rsid w:val="00B04D96"/>
    <w:rsid w:val="00B05359"/>
    <w:rsid w:val="00B0606D"/>
    <w:rsid w:val="00B06836"/>
    <w:rsid w:val="00B07B6A"/>
    <w:rsid w:val="00B1012B"/>
    <w:rsid w:val="00B1081A"/>
    <w:rsid w:val="00B11886"/>
    <w:rsid w:val="00B135FF"/>
    <w:rsid w:val="00B13B06"/>
    <w:rsid w:val="00B143B0"/>
    <w:rsid w:val="00B14F49"/>
    <w:rsid w:val="00B161CF"/>
    <w:rsid w:val="00B16BD7"/>
    <w:rsid w:val="00B1789E"/>
    <w:rsid w:val="00B17F24"/>
    <w:rsid w:val="00B20651"/>
    <w:rsid w:val="00B20C53"/>
    <w:rsid w:val="00B21A54"/>
    <w:rsid w:val="00B21D29"/>
    <w:rsid w:val="00B2208D"/>
    <w:rsid w:val="00B222CA"/>
    <w:rsid w:val="00B2315A"/>
    <w:rsid w:val="00B23298"/>
    <w:rsid w:val="00B236A9"/>
    <w:rsid w:val="00B237BC"/>
    <w:rsid w:val="00B23D2F"/>
    <w:rsid w:val="00B23E79"/>
    <w:rsid w:val="00B23ED7"/>
    <w:rsid w:val="00B249F1"/>
    <w:rsid w:val="00B251AA"/>
    <w:rsid w:val="00B2636B"/>
    <w:rsid w:val="00B26EEA"/>
    <w:rsid w:val="00B30E83"/>
    <w:rsid w:val="00B31089"/>
    <w:rsid w:val="00B32AB9"/>
    <w:rsid w:val="00B32B1F"/>
    <w:rsid w:val="00B32E85"/>
    <w:rsid w:val="00B32E8D"/>
    <w:rsid w:val="00B33087"/>
    <w:rsid w:val="00B33238"/>
    <w:rsid w:val="00B338EB"/>
    <w:rsid w:val="00B34DF6"/>
    <w:rsid w:val="00B36585"/>
    <w:rsid w:val="00B3687B"/>
    <w:rsid w:val="00B36934"/>
    <w:rsid w:val="00B36D2D"/>
    <w:rsid w:val="00B370A7"/>
    <w:rsid w:val="00B370C9"/>
    <w:rsid w:val="00B37418"/>
    <w:rsid w:val="00B37E14"/>
    <w:rsid w:val="00B4029B"/>
    <w:rsid w:val="00B40F7D"/>
    <w:rsid w:val="00B415D8"/>
    <w:rsid w:val="00B428C9"/>
    <w:rsid w:val="00B42C34"/>
    <w:rsid w:val="00B436C9"/>
    <w:rsid w:val="00B43801"/>
    <w:rsid w:val="00B46542"/>
    <w:rsid w:val="00B46E14"/>
    <w:rsid w:val="00B47215"/>
    <w:rsid w:val="00B478AA"/>
    <w:rsid w:val="00B50790"/>
    <w:rsid w:val="00B5092E"/>
    <w:rsid w:val="00B50E95"/>
    <w:rsid w:val="00B512F9"/>
    <w:rsid w:val="00B517DA"/>
    <w:rsid w:val="00B51908"/>
    <w:rsid w:val="00B521B6"/>
    <w:rsid w:val="00B52DB0"/>
    <w:rsid w:val="00B52E01"/>
    <w:rsid w:val="00B532B5"/>
    <w:rsid w:val="00B53668"/>
    <w:rsid w:val="00B539CD"/>
    <w:rsid w:val="00B54244"/>
    <w:rsid w:val="00B55179"/>
    <w:rsid w:val="00B55CFD"/>
    <w:rsid w:val="00B56391"/>
    <w:rsid w:val="00B5675B"/>
    <w:rsid w:val="00B56E49"/>
    <w:rsid w:val="00B575B4"/>
    <w:rsid w:val="00B60283"/>
    <w:rsid w:val="00B60641"/>
    <w:rsid w:val="00B60CBA"/>
    <w:rsid w:val="00B60F88"/>
    <w:rsid w:val="00B61108"/>
    <w:rsid w:val="00B6226D"/>
    <w:rsid w:val="00B62B4A"/>
    <w:rsid w:val="00B62C8D"/>
    <w:rsid w:val="00B62F52"/>
    <w:rsid w:val="00B634CC"/>
    <w:rsid w:val="00B63629"/>
    <w:rsid w:val="00B63985"/>
    <w:rsid w:val="00B63EBD"/>
    <w:rsid w:val="00B641EE"/>
    <w:rsid w:val="00B64E51"/>
    <w:rsid w:val="00B66914"/>
    <w:rsid w:val="00B66A4C"/>
    <w:rsid w:val="00B66C5C"/>
    <w:rsid w:val="00B66D39"/>
    <w:rsid w:val="00B70024"/>
    <w:rsid w:val="00B70373"/>
    <w:rsid w:val="00B70D74"/>
    <w:rsid w:val="00B71064"/>
    <w:rsid w:val="00B710D8"/>
    <w:rsid w:val="00B71598"/>
    <w:rsid w:val="00B7165B"/>
    <w:rsid w:val="00B717DB"/>
    <w:rsid w:val="00B72515"/>
    <w:rsid w:val="00B72B7B"/>
    <w:rsid w:val="00B72E97"/>
    <w:rsid w:val="00B73C2A"/>
    <w:rsid w:val="00B75105"/>
    <w:rsid w:val="00B758D5"/>
    <w:rsid w:val="00B75901"/>
    <w:rsid w:val="00B75E6C"/>
    <w:rsid w:val="00B8032E"/>
    <w:rsid w:val="00B80A52"/>
    <w:rsid w:val="00B82FDA"/>
    <w:rsid w:val="00B83241"/>
    <w:rsid w:val="00B8355F"/>
    <w:rsid w:val="00B836A9"/>
    <w:rsid w:val="00B8394D"/>
    <w:rsid w:val="00B842A1"/>
    <w:rsid w:val="00B8481D"/>
    <w:rsid w:val="00B849CA"/>
    <w:rsid w:val="00B84DC1"/>
    <w:rsid w:val="00B85F94"/>
    <w:rsid w:val="00B904D3"/>
    <w:rsid w:val="00B91467"/>
    <w:rsid w:val="00B91D45"/>
    <w:rsid w:val="00B924A9"/>
    <w:rsid w:val="00B927FF"/>
    <w:rsid w:val="00B92B03"/>
    <w:rsid w:val="00B937BD"/>
    <w:rsid w:val="00B9412F"/>
    <w:rsid w:val="00B94E51"/>
    <w:rsid w:val="00B955CF"/>
    <w:rsid w:val="00B955FF"/>
    <w:rsid w:val="00B95BBC"/>
    <w:rsid w:val="00B97119"/>
    <w:rsid w:val="00B973D8"/>
    <w:rsid w:val="00B97B31"/>
    <w:rsid w:val="00B97BD5"/>
    <w:rsid w:val="00B97E9D"/>
    <w:rsid w:val="00B97EE1"/>
    <w:rsid w:val="00BA02A3"/>
    <w:rsid w:val="00BA09B7"/>
    <w:rsid w:val="00BA0C50"/>
    <w:rsid w:val="00BA1D77"/>
    <w:rsid w:val="00BA1EE0"/>
    <w:rsid w:val="00BA1F36"/>
    <w:rsid w:val="00BA272A"/>
    <w:rsid w:val="00BA3C1E"/>
    <w:rsid w:val="00BA4441"/>
    <w:rsid w:val="00BA4E57"/>
    <w:rsid w:val="00BA59DC"/>
    <w:rsid w:val="00BA5EF3"/>
    <w:rsid w:val="00BA6493"/>
    <w:rsid w:val="00BA752C"/>
    <w:rsid w:val="00BB056C"/>
    <w:rsid w:val="00BB09D7"/>
    <w:rsid w:val="00BB0AC1"/>
    <w:rsid w:val="00BB0B39"/>
    <w:rsid w:val="00BB0C79"/>
    <w:rsid w:val="00BB0CDD"/>
    <w:rsid w:val="00BB0E97"/>
    <w:rsid w:val="00BB296A"/>
    <w:rsid w:val="00BB2C9F"/>
    <w:rsid w:val="00BB32C1"/>
    <w:rsid w:val="00BB3942"/>
    <w:rsid w:val="00BB4338"/>
    <w:rsid w:val="00BB4709"/>
    <w:rsid w:val="00BB522E"/>
    <w:rsid w:val="00BB525F"/>
    <w:rsid w:val="00BB5C85"/>
    <w:rsid w:val="00BB6AEF"/>
    <w:rsid w:val="00BC13C9"/>
    <w:rsid w:val="00BC1A00"/>
    <w:rsid w:val="00BC1C2D"/>
    <w:rsid w:val="00BC213D"/>
    <w:rsid w:val="00BC26B0"/>
    <w:rsid w:val="00BC4360"/>
    <w:rsid w:val="00BC46E3"/>
    <w:rsid w:val="00BC4CCE"/>
    <w:rsid w:val="00BC5513"/>
    <w:rsid w:val="00BC5A8B"/>
    <w:rsid w:val="00BC6365"/>
    <w:rsid w:val="00BC65D0"/>
    <w:rsid w:val="00BC6F04"/>
    <w:rsid w:val="00BC706E"/>
    <w:rsid w:val="00BC7383"/>
    <w:rsid w:val="00BC7F64"/>
    <w:rsid w:val="00BD0019"/>
    <w:rsid w:val="00BD073C"/>
    <w:rsid w:val="00BD0F5D"/>
    <w:rsid w:val="00BD1299"/>
    <w:rsid w:val="00BD29CD"/>
    <w:rsid w:val="00BD3A8D"/>
    <w:rsid w:val="00BD41BA"/>
    <w:rsid w:val="00BD4601"/>
    <w:rsid w:val="00BD462C"/>
    <w:rsid w:val="00BD4CEE"/>
    <w:rsid w:val="00BD52AF"/>
    <w:rsid w:val="00BD61A7"/>
    <w:rsid w:val="00BD6336"/>
    <w:rsid w:val="00BD64F7"/>
    <w:rsid w:val="00BD73C1"/>
    <w:rsid w:val="00BD7452"/>
    <w:rsid w:val="00BD7B20"/>
    <w:rsid w:val="00BD7EC4"/>
    <w:rsid w:val="00BD7FD5"/>
    <w:rsid w:val="00BE070F"/>
    <w:rsid w:val="00BE1508"/>
    <w:rsid w:val="00BE2389"/>
    <w:rsid w:val="00BE4F3C"/>
    <w:rsid w:val="00BE589D"/>
    <w:rsid w:val="00BE59DF"/>
    <w:rsid w:val="00BE686F"/>
    <w:rsid w:val="00BE6A71"/>
    <w:rsid w:val="00BE7345"/>
    <w:rsid w:val="00BF0380"/>
    <w:rsid w:val="00BF11AA"/>
    <w:rsid w:val="00BF120B"/>
    <w:rsid w:val="00BF1AAC"/>
    <w:rsid w:val="00BF1CA4"/>
    <w:rsid w:val="00BF1CE3"/>
    <w:rsid w:val="00BF24D3"/>
    <w:rsid w:val="00BF2993"/>
    <w:rsid w:val="00BF2CE9"/>
    <w:rsid w:val="00BF2CFC"/>
    <w:rsid w:val="00BF3B2F"/>
    <w:rsid w:val="00BF4579"/>
    <w:rsid w:val="00BF5846"/>
    <w:rsid w:val="00BF5C91"/>
    <w:rsid w:val="00BF62F2"/>
    <w:rsid w:val="00C0039D"/>
    <w:rsid w:val="00C005CC"/>
    <w:rsid w:val="00C00AAC"/>
    <w:rsid w:val="00C017E4"/>
    <w:rsid w:val="00C01AB9"/>
    <w:rsid w:val="00C020B0"/>
    <w:rsid w:val="00C02508"/>
    <w:rsid w:val="00C03690"/>
    <w:rsid w:val="00C041EE"/>
    <w:rsid w:val="00C04840"/>
    <w:rsid w:val="00C0530C"/>
    <w:rsid w:val="00C05EAD"/>
    <w:rsid w:val="00C06E37"/>
    <w:rsid w:val="00C06FAD"/>
    <w:rsid w:val="00C0770B"/>
    <w:rsid w:val="00C07B69"/>
    <w:rsid w:val="00C11611"/>
    <w:rsid w:val="00C12454"/>
    <w:rsid w:val="00C12C69"/>
    <w:rsid w:val="00C12FB7"/>
    <w:rsid w:val="00C13251"/>
    <w:rsid w:val="00C140BE"/>
    <w:rsid w:val="00C1461A"/>
    <w:rsid w:val="00C1668A"/>
    <w:rsid w:val="00C16840"/>
    <w:rsid w:val="00C17F1A"/>
    <w:rsid w:val="00C200AC"/>
    <w:rsid w:val="00C20D1D"/>
    <w:rsid w:val="00C20E53"/>
    <w:rsid w:val="00C211B2"/>
    <w:rsid w:val="00C2128F"/>
    <w:rsid w:val="00C21EB8"/>
    <w:rsid w:val="00C22FC5"/>
    <w:rsid w:val="00C24AD0"/>
    <w:rsid w:val="00C258FB"/>
    <w:rsid w:val="00C25EB8"/>
    <w:rsid w:val="00C25ECC"/>
    <w:rsid w:val="00C268E4"/>
    <w:rsid w:val="00C26AAB"/>
    <w:rsid w:val="00C2781F"/>
    <w:rsid w:val="00C27CDB"/>
    <w:rsid w:val="00C27E1F"/>
    <w:rsid w:val="00C3060C"/>
    <w:rsid w:val="00C30720"/>
    <w:rsid w:val="00C30B8E"/>
    <w:rsid w:val="00C30BBF"/>
    <w:rsid w:val="00C30EDE"/>
    <w:rsid w:val="00C31965"/>
    <w:rsid w:val="00C31BB9"/>
    <w:rsid w:val="00C32249"/>
    <w:rsid w:val="00C32297"/>
    <w:rsid w:val="00C32773"/>
    <w:rsid w:val="00C330C1"/>
    <w:rsid w:val="00C33840"/>
    <w:rsid w:val="00C34EE5"/>
    <w:rsid w:val="00C361C6"/>
    <w:rsid w:val="00C364F7"/>
    <w:rsid w:val="00C368E4"/>
    <w:rsid w:val="00C36C36"/>
    <w:rsid w:val="00C3734C"/>
    <w:rsid w:val="00C379F0"/>
    <w:rsid w:val="00C405F3"/>
    <w:rsid w:val="00C40CC6"/>
    <w:rsid w:val="00C412AB"/>
    <w:rsid w:val="00C438E1"/>
    <w:rsid w:val="00C43965"/>
    <w:rsid w:val="00C43BBA"/>
    <w:rsid w:val="00C445C1"/>
    <w:rsid w:val="00C45AA9"/>
    <w:rsid w:val="00C45FF4"/>
    <w:rsid w:val="00C46666"/>
    <w:rsid w:val="00C4697F"/>
    <w:rsid w:val="00C46AAC"/>
    <w:rsid w:val="00C4716D"/>
    <w:rsid w:val="00C473B7"/>
    <w:rsid w:val="00C477CB"/>
    <w:rsid w:val="00C47DE9"/>
    <w:rsid w:val="00C50251"/>
    <w:rsid w:val="00C50270"/>
    <w:rsid w:val="00C50273"/>
    <w:rsid w:val="00C504DA"/>
    <w:rsid w:val="00C50A97"/>
    <w:rsid w:val="00C524F5"/>
    <w:rsid w:val="00C52D85"/>
    <w:rsid w:val="00C53144"/>
    <w:rsid w:val="00C53788"/>
    <w:rsid w:val="00C541F0"/>
    <w:rsid w:val="00C542F3"/>
    <w:rsid w:val="00C55074"/>
    <w:rsid w:val="00C561EB"/>
    <w:rsid w:val="00C565A0"/>
    <w:rsid w:val="00C568B8"/>
    <w:rsid w:val="00C56A07"/>
    <w:rsid w:val="00C57544"/>
    <w:rsid w:val="00C57E70"/>
    <w:rsid w:val="00C57F03"/>
    <w:rsid w:val="00C600C3"/>
    <w:rsid w:val="00C60621"/>
    <w:rsid w:val="00C60D49"/>
    <w:rsid w:val="00C60EB1"/>
    <w:rsid w:val="00C61ADD"/>
    <w:rsid w:val="00C62457"/>
    <w:rsid w:val="00C6286E"/>
    <w:rsid w:val="00C62A0D"/>
    <w:rsid w:val="00C62D7A"/>
    <w:rsid w:val="00C63105"/>
    <w:rsid w:val="00C63423"/>
    <w:rsid w:val="00C64074"/>
    <w:rsid w:val="00C64A5E"/>
    <w:rsid w:val="00C64F93"/>
    <w:rsid w:val="00C652E8"/>
    <w:rsid w:val="00C65BBC"/>
    <w:rsid w:val="00C664D0"/>
    <w:rsid w:val="00C66CFE"/>
    <w:rsid w:val="00C671C0"/>
    <w:rsid w:val="00C67EDC"/>
    <w:rsid w:val="00C70689"/>
    <w:rsid w:val="00C72E21"/>
    <w:rsid w:val="00C73152"/>
    <w:rsid w:val="00C7380C"/>
    <w:rsid w:val="00C738B4"/>
    <w:rsid w:val="00C74BF0"/>
    <w:rsid w:val="00C754CF"/>
    <w:rsid w:val="00C75540"/>
    <w:rsid w:val="00C75B8A"/>
    <w:rsid w:val="00C77181"/>
    <w:rsid w:val="00C7747F"/>
    <w:rsid w:val="00C77715"/>
    <w:rsid w:val="00C77C54"/>
    <w:rsid w:val="00C81E89"/>
    <w:rsid w:val="00C823D7"/>
    <w:rsid w:val="00C824F3"/>
    <w:rsid w:val="00C82597"/>
    <w:rsid w:val="00C829C3"/>
    <w:rsid w:val="00C833E0"/>
    <w:rsid w:val="00C84153"/>
    <w:rsid w:val="00C85838"/>
    <w:rsid w:val="00C85C91"/>
    <w:rsid w:val="00C87378"/>
    <w:rsid w:val="00C87553"/>
    <w:rsid w:val="00C87DF6"/>
    <w:rsid w:val="00C9000B"/>
    <w:rsid w:val="00C9286C"/>
    <w:rsid w:val="00C938DE"/>
    <w:rsid w:val="00C94AE4"/>
    <w:rsid w:val="00C95050"/>
    <w:rsid w:val="00C95143"/>
    <w:rsid w:val="00C9670B"/>
    <w:rsid w:val="00C97328"/>
    <w:rsid w:val="00C97495"/>
    <w:rsid w:val="00CA1077"/>
    <w:rsid w:val="00CA1387"/>
    <w:rsid w:val="00CA1D7A"/>
    <w:rsid w:val="00CA1E90"/>
    <w:rsid w:val="00CA20D2"/>
    <w:rsid w:val="00CA261E"/>
    <w:rsid w:val="00CA2753"/>
    <w:rsid w:val="00CA2755"/>
    <w:rsid w:val="00CA3839"/>
    <w:rsid w:val="00CA3A46"/>
    <w:rsid w:val="00CA430B"/>
    <w:rsid w:val="00CA4398"/>
    <w:rsid w:val="00CA52C3"/>
    <w:rsid w:val="00CA5ADC"/>
    <w:rsid w:val="00CA5D79"/>
    <w:rsid w:val="00CA7123"/>
    <w:rsid w:val="00CA72AA"/>
    <w:rsid w:val="00CA79D4"/>
    <w:rsid w:val="00CA7ABC"/>
    <w:rsid w:val="00CB0162"/>
    <w:rsid w:val="00CB09CF"/>
    <w:rsid w:val="00CB126B"/>
    <w:rsid w:val="00CB15F9"/>
    <w:rsid w:val="00CB1BBB"/>
    <w:rsid w:val="00CB1F8D"/>
    <w:rsid w:val="00CB202B"/>
    <w:rsid w:val="00CB285C"/>
    <w:rsid w:val="00CB381A"/>
    <w:rsid w:val="00CB3A57"/>
    <w:rsid w:val="00CB4DAC"/>
    <w:rsid w:val="00CB547D"/>
    <w:rsid w:val="00CB5D17"/>
    <w:rsid w:val="00CB6ECE"/>
    <w:rsid w:val="00CB7A33"/>
    <w:rsid w:val="00CC0106"/>
    <w:rsid w:val="00CC09BC"/>
    <w:rsid w:val="00CC0F20"/>
    <w:rsid w:val="00CC227E"/>
    <w:rsid w:val="00CC269A"/>
    <w:rsid w:val="00CC288C"/>
    <w:rsid w:val="00CC49A9"/>
    <w:rsid w:val="00CC53A2"/>
    <w:rsid w:val="00CC5833"/>
    <w:rsid w:val="00CC6090"/>
    <w:rsid w:val="00CC7296"/>
    <w:rsid w:val="00CC7350"/>
    <w:rsid w:val="00CC7692"/>
    <w:rsid w:val="00CD03FA"/>
    <w:rsid w:val="00CD074C"/>
    <w:rsid w:val="00CD0941"/>
    <w:rsid w:val="00CD19A1"/>
    <w:rsid w:val="00CD21A7"/>
    <w:rsid w:val="00CD422D"/>
    <w:rsid w:val="00CD463C"/>
    <w:rsid w:val="00CD51AB"/>
    <w:rsid w:val="00CD5233"/>
    <w:rsid w:val="00CD548C"/>
    <w:rsid w:val="00CD586C"/>
    <w:rsid w:val="00CD5ABD"/>
    <w:rsid w:val="00CD6380"/>
    <w:rsid w:val="00CD6624"/>
    <w:rsid w:val="00CD7579"/>
    <w:rsid w:val="00CD7674"/>
    <w:rsid w:val="00CD7893"/>
    <w:rsid w:val="00CE006D"/>
    <w:rsid w:val="00CE0605"/>
    <w:rsid w:val="00CE0B4E"/>
    <w:rsid w:val="00CE1002"/>
    <w:rsid w:val="00CE154F"/>
    <w:rsid w:val="00CE226C"/>
    <w:rsid w:val="00CE389C"/>
    <w:rsid w:val="00CE3EE4"/>
    <w:rsid w:val="00CE4657"/>
    <w:rsid w:val="00CE6048"/>
    <w:rsid w:val="00CE6854"/>
    <w:rsid w:val="00CE6A45"/>
    <w:rsid w:val="00CE6B64"/>
    <w:rsid w:val="00CE7C12"/>
    <w:rsid w:val="00CF0519"/>
    <w:rsid w:val="00CF1957"/>
    <w:rsid w:val="00CF1A31"/>
    <w:rsid w:val="00CF1FF2"/>
    <w:rsid w:val="00CF28EB"/>
    <w:rsid w:val="00CF3C22"/>
    <w:rsid w:val="00CF41DC"/>
    <w:rsid w:val="00CF4432"/>
    <w:rsid w:val="00CF55D8"/>
    <w:rsid w:val="00CF726C"/>
    <w:rsid w:val="00CF7E46"/>
    <w:rsid w:val="00D0121D"/>
    <w:rsid w:val="00D019AE"/>
    <w:rsid w:val="00D01F14"/>
    <w:rsid w:val="00D029CE"/>
    <w:rsid w:val="00D02F57"/>
    <w:rsid w:val="00D04001"/>
    <w:rsid w:val="00D0402B"/>
    <w:rsid w:val="00D049D8"/>
    <w:rsid w:val="00D054A8"/>
    <w:rsid w:val="00D05826"/>
    <w:rsid w:val="00D05D18"/>
    <w:rsid w:val="00D066BE"/>
    <w:rsid w:val="00D073D8"/>
    <w:rsid w:val="00D07602"/>
    <w:rsid w:val="00D1020A"/>
    <w:rsid w:val="00D103F4"/>
    <w:rsid w:val="00D1065D"/>
    <w:rsid w:val="00D10E08"/>
    <w:rsid w:val="00D1143C"/>
    <w:rsid w:val="00D11B04"/>
    <w:rsid w:val="00D12B5D"/>
    <w:rsid w:val="00D13571"/>
    <w:rsid w:val="00D139FF"/>
    <w:rsid w:val="00D14F17"/>
    <w:rsid w:val="00D15376"/>
    <w:rsid w:val="00D153B4"/>
    <w:rsid w:val="00D15647"/>
    <w:rsid w:val="00D15E0F"/>
    <w:rsid w:val="00D16697"/>
    <w:rsid w:val="00D1681D"/>
    <w:rsid w:val="00D16BC1"/>
    <w:rsid w:val="00D1741D"/>
    <w:rsid w:val="00D17505"/>
    <w:rsid w:val="00D175BD"/>
    <w:rsid w:val="00D17956"/>
    <w:rsid w:val="00D17C95"/>
    <w:rsid w:val="00D20018"/>
    <w:rsid w:val="00D20412"/>
    <w:rsid w:val="00D210C8"/>
    <w:rsid w:val="00D2148C"/>
    <w:rsid w:val="00D2185F"/>
    <w:rsid w:val="00D21B77"/>
    <w:rsid w:val="00D2219C"/>
    <w:rsid w:val="00D223A4"/>
    <w:rsid w:val="00D22E54"/>
    <w:rsid w:val="00D23504"/>
    <w:rsid w:val="00D238C6"/>
    <w:rsid w:val="00D23CED"/>
    <w:rsid w:val="00D24D43"/>
    <w:rsid w:val="00D2566E"/>
    <w:rsid w:val="00D258B8"/>
    <w:rsid w:val="00D27F52"/>
    <w:rsid w:val="00D30B32"/>
    <w:rsid w:val="00D30F1E"/>
    <w:rsid w:val="00D32266"/>
    <w:rsid w:val="00D328CA"/>
    <w:rsid w:val="00D32D1E"/>
    <w:rsid w:val="00D32DD5"/>
    <w:rsid w:val="00D32EB7"/>
    <w:rsid w:val="00D336ED"/>
    <w:rsid w:val="00D337F1"/>
    <w:rsid w:val="00D342AF"/>
    <w:rsid w:val="00D342B6"/>
    <w:rsid w:val="00D344BE"/>
    <w:rsid w:val="00D34756"/>
    <w:rsid w:val="00D34D6A"/>
    <w:rsid w:val="00D35450"/>
    <w:rsid w:val="00D35902"/>
    <w:rsid w:val="00D35B9C"/>
    <w:rsid w:val="00D35C95"/>
    <w:rsid w:val="00D36E52"/>
    <w:rsid w:val="00D3751D"/>
    <w:rsid w:val="00D37A0B"/>
    <w:rsid w:val="00D40512"/>
    <w:rsid w:val="00D40DAE"/>
    <w:rsid w:val="00D41042"/>
    <w:rsid w:val="00D41B5B"/>
    <w:rsid w:val="00D41EBB"/>
    <w:rsid w:val="00D42149"/>
    <w:rsid w:val="00D42769"/>
    <w:rsid w:val="00D4316E"/>
    <w:rsid w:val="00D43CA1"/>
    <w:rsid w:val="00D44068"/>
    <w:rsid w:val="00D44613"/>
    <w:rsid w:val="00D44997"/>
    <w:rsid w:val="00D457D1"/>
    <w:rsid w:val="00D45CAA"/>
    <w:rsid w:val="00D50836"/>
    <w:rsid w:val="00D511B8"/>
    <w:rsid w:val="00D5163E"/>
    <w:rsid w:val="00D51CAA"/>
    <w:rsid w:val="00D52B5C"/>
    <w:rsid w:val="00D53A91"/>
    <w:rsid w:val="00D548AF"/>
    <w:rsid w:val="00D54D99"/>
    <w:rsid w:val="00D55C16"/>
    <w:rsid w:val="00D562CA"/>
    <w:rsid w:val="00D565A8"/>
    <w:rsid w:val="00D56BE6"/>
    <w:rsid w:val="00D57303"/>
    <w:rsid w:val="00D5733B"/>
    <w:rsid w:val="00D57641"/>
    <w:rsid w:val="00D576F4"/>
    <w:rsid w:val="00D576FF"/>
    <w:rsid w:val="00D57A02"/>
    <w:rsid w:val="00D606AD"/>
    <w:rsid w:val="00D61089"/>
    <w:rsid w:val="00D616BA"/>
    <w:rsid w:val="00D627BD"/>
    <w:rsid w:val="00D631B8"/>
    <w:rsid w:val="00D635DC"/>
    <w:rsid w:val="00D63873"/>
    <w:rsid w:val="00D63D83"/>
    <w:rsid w:val="00D63F3C"/>
    <w:rsid w:val="00D64604"/>
    <w:rsid w:val="00D64B66"/>
    <w:rsid w:val="00D6540D"/>
    <w:rsid w:val="00D659EB"/>
    <w:rsid w:val="00D664D2"/>
    <w:rsid w:val="00D669F1"/>
    <w:rsid w:val="00D6700B"/>
    <w:rsid w:val="00D670EA"/>
    <w:rsid w:val="00D67B98"/>
    <w:rsid w:val="00D67CC0"/>
    <w:rsid w:val="00D67FE6"/>
    <w:rsid w:val="00D706EA"/>
    <w:rsid w:val="00D70B3B"/>
    <w:rsid w:val="00D71A2F"/>
    <w:rsid w:val="00D72AE8"/>
    <w:rsid w:val="00D7421A"/>
    <w:rsid w:val="00D74375"/>
    <w:rsid w:val="00D748CC"/>
    <w:rsid w:val="00D74988"/>
    <w:rsid w:val="00D7500C"/>
    <w:rsid w:val="00D750C6"/>
    <w:rsid w:val="00D75464"/>
    <w:rsid w:val="00D7570F"/>
    <w:rsid w:val="00D75D7A"/>
    <w:rsid w:val="00D75F38"/>
    <w:rsid w:val="00D76C76"/>
    <w:rsid w:val="00D76D5C"/>
    <w:rsid w:val="00D76F68"/>
    <w:rsid w:val="00D7720C"/>
    <w:rsid w:val="00D77741"/>
    <w:rsid w:val="00D7788D"/>
    <w:rsid w:val="00D77EF8"/>
    <w:rsid w:val="00D80F2C"/>
    <w:rsid w:val="00D817BB"/>
    <w:rsid w:val="00D81EF7"/>
    <w:rsid w:val="00D84252"/>
    <w:rsid w:val="00D84E0B"/>
    <w:rsid w:val="00D858C4"/>
    <w:rsid w:val="00D860CB"/>
    <w:rsid w:val="00D861C7"/>
    <w:rsid w:val="00D862E2"/>
    <w:rsid w:val="00D863D7"/>
    <w:rsid w:val="00D8655A"/>
    <w:rsid w:val="00D872B8"/>
    <w:rsid w:val="00D87973"/>
    <w:rsid w:val="00D909CC"/>
    <w:rsid w:val="00D90AF0"/>
    <w:rsid w:val="00D90F21"/>
    <w:rsid w:val="00D910B4"/>
    <w:rsid w:val="00D914E0"/>
    <w:rsid w:val="00D9196A"/>
    <w:rsid w:val="00D919B7"/>
    <w:rsid w:val="00D92181"/>
    <w:rsid w:val="00D92B4E"/>
    <w:rsid w:val="00D94781"/>
    <w:rsid w:val="00D954C7"/>
    <w:rsid w:val="00D9589C"/>
    <w:rsid w:val="00D95EB7"/>
    <w:rsid w:val="00D960B0"/>
    <w:rsid w:val="00D96388"/>
    <w:rsid w:val="00D965A8"/>
    <w:rsid w:val="00D970C8"/>
    <w:rsid w:val="00D970F5"/>
    <w:rsid w:val="00DA0A6F"/>
    <w:rsid w:val="00DA11A8"/>
    <w:rsid w:val="00DA1873"/>
    <w:rsid w:val="00DA2E13"/>
    <w:rsid w:val="00DA3E8D"/>
    <w:rsid w:val="00DA4195"/>
    <w:rsid w:val="00DA4F4D"/>
    <w:rsid w:val="00DA59A3"/>
    <w:rsid w:val="00DA6D8C"/>
    <w:rsid w:val="00DA71B3"/>
    <w:rsid w:val="00DA7637"/>
    <w:rsid w:val="00DA7E1B"/>
    <w:rsid w:val="00DB009A"/>
    <w:rsid w:val="00DB0E28"/>
    <w:rsid w:val="00DB0FB4"/>
    <w:rsid w:val="00DB292F"/>
    <w:rsid w:val="00DB2BD7"/>
    <w:rsid w:val="00DB301F"/>
    <w:rsid w:val="00DB3396"/>
    <w:rsid w:val="00DB4028"/>
    <w:rsid w:val="00DB663B"/>
    <w:rsid w:val="00DB67C4"/>
    <w:rsid w:val="00DB6C78"/>
    <w:rsid w:val="00DB7449"/>
    <w:rsid w:val="00DB7689"/>
    <w:rsid w:val="00DC03D3"/>
    <w:rsid w:val="00DC074F"/>
    <w:rsid w:val="00DC0C37"/>
    <w:rsid w:val="00DC0D2D"/>
    <w:rsid w:val="00DC106B"/>
    <w:rsid w:val="00DC11CC"/>
    <w:rsid w:val="00DC1365"/>
    <w:rsid w:val="00DC148A"/>
    <w:rsid w:val="00DC14F5"/>
    <w:rsid w:val="00DC2152"/>
    <w:rsid w:val="00DC2707"/>
    <w:rsid w:val="00DC2FEE"/>
    <w:rsid w:val="00DC3A92"/>
    <w:rsid w:val="00DC415B"/>
    <w:rsid w:val="00DC478E"/>
    <w:rsid w:val="00DC4BE0"/>
    <w:rsid w:val="00DC4DEB"/>
    <w:rsid w:val="00DC52FE"/>
    <w:rsid w:val="00DC571B"/>
    <w:rsid w:val="00DC5AFF"/>
    <w:rsid w:val="00DC5FEC"/>
    <w:rsid w:val="00DC759F"/>
    <w:rsid w:val="00DC778A"/>
    <w:rsid w:val="00DC7C6D"/>
    <w:rsid w:val="00DC7D5F"/>
    <w:rsid w:val="00DD0739"/>
    <w:rsid w:val="00DD0862"/>
    <w:rsid w:val="00DD0C50"/>
    <w:rsid w:val="00DD1276"/>
    <w:rsid w:val="00DD2201"/>
    <w:rsid w:val="00DD29AD"/>
    <w:rsid w:val="00DD3CF2"/>
    <w:rsid w:val="00DD3E86"/>
    <w:rsid w:val="00DD4197"/>
    <w:rsid w:val="00DD4488"/>
    <w:rsid w:val="00DD5605"/>
    <w:rsid w:val="00DD571F"/>
    <w:rsid w:val="00DD5CC6"/>
    <w:rsid w:val="00DD5E96"/>
    <w:rsid w:val="00DD6113"/>
    <w:rsid w:val="00DD6878"/>
    <w:rsid w:val="00DD78F2"/>
    <w:rsid w:val="00DD7C5B"/>
    <w:rsid w:val="00DE03B6"/>
    <w:rsid w:val="00DE0936"/>
    <w:rsid w:val="00DE0BB9"/>
    <w:rsid w:val="00DE182C"/>
    <w:rsid w:val="00DE1B13"/>
    <w:rsid w:val="00DE24E2"/>
    <w:rsid w:val="00DE2801"/>
    <w:rsid w:val="00DE29EE"/>
    <w:rsid w:val="00DE5277"/>
    <w:rsid w:val="00DE6274"/>
    <w:rsid w:val="00DE636C"/>
    <w:rsid w:val="00DE73D2"/>
    <w:rsid w:val="00DE7562"/>
    <w:rsid w:val="00DF04D7"/>
    <w:rsid w:val="00DF098E"/>
    <w:rsid w:val="00DF1173"/>
    <w:rsid w:val="00DF2104"/>
    <w:rsid w:val="00DF26E3"/>
    <w:rsid w:val="00DF2A83"/>
    <w:rsid w:val="00DF2B25"/>
    <w:rsid w:val="00DF2CC2"/>
    <w:rsid w:val="00DF3378"/>
    <w:rsid w:val="00DF38A8"/>
    <w:rsid w:val="00DF5056"/>
    <w:rsid w:val="00DF5223"/>
    <w:rsid w:val="00DF59CD"/>
    <w:rsid w:val="00DF5BB3"/>
    <w:rsid w:val="00DF5F42"/>
    <w:rsid w:val="00DF6771"/>
    <w:rsid w:val="00DF7E03"/>
    <w:rsid w:val="00E00914"/>
    <w:rsid w:val="00E00B27"/>
    <w:rsid w:val="00E00F5D"/>
    <w:rsid w:val="00E017AC"/>
    <w:rsid w:val="00E01B36"/>
    <w:rsid w:val="00E01DDD"/>
    <w:rsid w:val="00E04543"/>
    <w:rsid w:val="00E04BF3"/>
    <w:rsid w:val="00E05151"/>
    <w:rsid w:val="00E05807"/>
    <w:rsid w:val="00E06671"/>
    <w:rsid w:val="00E06E06"/>
    <w:rsid w:val="00E07739"/>
    <w:rsid w:val="00E07CC7"/>
    <w:rsid w:val="00E1059E"/>
    <w:rsid w:val="00E109EA"/>
    <w:rsid w:val="00E116A2"/>
    <w:rsid w:val="00E118B5"/>
    <w:rsid w:val="00E122A3"/>
    <w:rsid w:val="00E12370"/>
    <w:rsid w:val="00E136C0"/>
    <w:rsid w:val="00E13D05"/>
    <w:rsid w:val="00E13E9B"/>
    <w:rsid w:val="00E140AE"/>
    <w:rsid w:val="00E14507"/>
    <w:rsid w:val="00E145B6"/>
    <w:rsid w:val="00E14B91"/>
    <w:rsid w:val="00E15663"/>
    <w:rsid w:val="00E15DBB"/>
    <w:rsid w:val="00E16094"/>
    <w:rsid w:val="00E160C5"/>
    <w:rsid w:val="00E16198"/>
    <w:rsid w:val="00E16429"/>
    <w:rsid w:val="00E16983"/>
    <w:rsid w:val="00E16BE6"/>
    <w:rsid w:val="00E17146"/>
    <w:rsid w:val="00E17213"/>
    <w:rsid w:val="00E176F0"/>
    <w:rsid w:val="00E17DFE"/>
    <w:rsid w:val="00E2081D"/>
    <w:rsid w:val="00E2089C"/>
    <w:rsid w:val="00E215B2"/>
    <w:rsid w:val="00E21B77"/>
    <w:rsid w:val="00E2302E"/>
    <w:rsid w:val="00E24832"/>
    <w:rsid w:val="00E255B9"/>
    <w:rsid w:val="00E2630C"/>
    <w:rsid w:val="00E26338"/>
    <w:rsid w:val="00E2687C"/>
    <w:rsid w:val="00E26968"/>
    <w:rsid w:val="00E26DD2"/>
    <w:rsid w:val="00E26DF9"/>
    <w:rsid w:val="00E26F55"/>
    <w:rsid w:val="00E30020"/>
    <w:rsid w:val="00E3011D"/>
    <w:rsid w:val="00E30CA8"/>
    <w:rsid w:val="00E31277"/>
    <w:rsid w:val="00E321BC"/>
    <w:rsid w:val="00E323A7"/>
    <w:rsid w:val="00E3240A"/>
    <w:rsid w:val="00E3290C"/>
    <w:rsid w:val="00E332C0"/>
    <w:rsid w:val="00E347D2"/>
    <w:rsid w:val="00E34D83"/>
    <w:rsid w:val="00E34DD7"/>
    <w:rsid w:val="00E35079"/>
    <w:rsid w:val="00E35864"/>
    <w:rsid w:val="00E35C14"/>
    <w:rsid w:val="00E35D97"/>
    <w:rsid w:val="00E366CD"/>
    <w:rsid w:val="00E37077"/>
    <w:rsid w:val="00E37D13"/>
    <w:rsid w:val="00E40819"/>
    <w:rsid w:val="00E42AF3"/>
    <w:rsid w:val="00E43272"/>
    <w:rsid w:val="00E43BE1"/>
    <w:rsid w:val="00E449A0"/>
    <w:rsid w:val="00E45EA8"/>
    <w:rsid w:val="00E46504"/>
    <w:rsid w:val="00E46A30"/>
    <w:rsid w:val="00E47710"/>
    <w:rsid w:val="00E47BF7"/>
    <w:rsid w:val="00E504FA"/>
    <w:rsid w:val="00E519A2"/>
    <w:rsid w:val="00E519B3"/>
    <w:rsid w:val="00E52554"/>
    <w:rsid w:val="00E52708"/>
    <w:rsid w:val="00E52872"/>
    <w:rsid w:val="00E529D1"/>
    <w:rsid w:val="00E56D09"/>
    <w:rsid w:val="00E60383"/>
    <w:rsid w:val="00E60CBE"/>
    <w:rsid w:val="00E6145D"/>
    <w:rsid w:val="00E62648"/>
    <w:rsid w:val="00E62992"/>
    <w:rsid w:val="00E635D0"/>
    <w:rsid w:val="00E642D6"/>
    <w:rsid w:val="00E6493F"/>
    <w:rsid w:val="00E65149"/>
    <w:rsid w:val="00E65578"/>
    <w:rsid w:val="00E6621A"/>
    <w:rsid w:val="00E67417"/>
    <w:rsid w:val="00E67D07"/>
    <w:rsid w:val="00E67E7E"/>
    <w:rsid w:val="00E70722"/>
    <w:rsid w:val="00E71357"/>
    <w:rsid w:val="00E714E8"/>
    <w:rsid w:val="00E71CD4"/>
    <w:rsid w:val="00E72F2D"/>
    <w:rsid w:val="00E7372F"/>
    <w:rsid w:val="00E7619E"/>
    <w:rsid w:val="00E7633E"/>
    <w:rsid w:val="00E76E55"/>
    <w:rsid w:val="00E776FB"/>
    <w:rsid w:val="00E7792B"/>
    <w:rsid w:val="00E77C2A"/>
    <w:rsid w:val="00E77F5F"/>
    <w:rsid w:val="00E8005B"/>
    <w:rsid w:val="00E8036B"/>
    <w:rsid w:val="00E80494"/>
    <w:rsid w:val="00E80562"/>
    <w:rsid w:val="00E80720"/>
    <w:rsid w:val="00E8072A"/>
    <w:rsid w:val="00E80CC9"/>
    <w:rsid w:val="00E80DC3"/>
    <w:rsid w:val="00E81694"/>
    <w:rsid w:val="00E81F99"/>
    <w:rsid w:val="00E8217B"/>
    <w:rsid w:val="00E83290"/>
    <w:rsid w:val="00E8432C"/>
    <w:rsid w:val="00E8475A"/>
    <w:rsid w:val="00E84A4B"/>
    <w:rsid w:val="00E85DDF"/>
    <w:rsid w:val="00E85ED6"/>
    <w:rsid w:val="00E868B7"/>
    <w:rsid w:val="00E86E42"/>
    <w:rsid w:val="00E87610"/>
    <w:rsid w:val="00E876AC"/>
    <w:rsid w:val="00E90768"/>
    <w:rsid w:val="00E909C7"/>
    <w:rsid w:val="00E9113D"/>
    <w:rsid w:val="00E9232F"/>
    <w:rsid w:val="00E924C6"/>
    <w:rsid w:val="00E92A5A"/>
    <w:rsid w:val="00E9498B"/>
    <w:rsid w:val="00E9597E"/>
    <w:rsid w:val="00E95A73"/>
    <w:rsid w:val="00E969CD"/>
    <w:rsid w:val="00E96AD6"/>
    <w:rsid w:val="00E96CC7"/>
    <w:rsid w:val="00E976D4"/>
    <w:rsid w:val="00E9771C"/>
    <w:rsid w:val="00E979EA"/>
    <w:rsid w:val="00EA0AB9"/>
    <w:rsid w:val="00EA0E46"/>
    <w:rsid w:val="00EA1492"/>
    <w:rsid w:val="00EA17EA"/>
    <w:rsid w:val="00EA1B2A"/>
    <w:rsid w:val="00EA1B58"/>
    <w:rsid w:val="00EA32AB"/>
    <w:rsid w:val="00EA363F"/>
    <w:rsid w:val="00EA36CF"/>
    <w:rsid w:val="00EA42AD"/>
    <w:rsid w:val="00EA4412"/>
    <w:rsid w:val="00EA4645"/>
    <w:rsid w:val="00EA467C"/>
    <w:rsid w:val="00EA487E"/>
    <w:rsid w:val="00EA4894"/>
    <w:rsid w:val="00EA4AB4"/>
    <w:rsid w:val="00EA5320"/>
    <w:rsid w:val="00EA5379"/>
    <w:rsid w:val="00EA546B"/>
    <w:rsid w:val="00EA5A5D"/>
    <w:rsid w:val="00EA6357"/>
    <w:rsid w:val="00EA659D"/>
    <w:rsid w:val="00EB00AE"/>
    <w:rsid w:val="00EB08FB"/>
    <w:rsid w:val="00EB190C"/>
    <w:rsid w:val="00EB2DB5"/>
    <w:rsid w:val="00EB30E5"/>
    <w:rsid w:val="00EB480B"/>
    <w:rsid w:val="00EB4843"/>
    <w:rsid w:val="00EB576E"/>
    <w:rsid w:val="00EB58DB"/>
    <w:rsid w:val="00EB62AF"/>
    <w:rsid w:val="00EB6C36"/>
    <w:rsid w:val="00EB7660"/>
    <w:rsid w:val="00EB7ADE"/>
    <w:rsid w:val="00EB7C32"/>
    <w:rsid w:val="00EB7CD1"/>
    <w:rsid w:val="00EC0467"/>
    <w:rsid w:val="00EC048C"/>
    <w:rsid w:val="00EC071A"/>
    <w:rsid w:val="00EC1415"/>
    <w:rsid w:val="00EC1444"/>
    <w:rsid w:val="00EC1D82"/>
    <w:rsid w:val="00EC1F9E"/>
    <w:rsid w:val="00EC2675"/>
    <w:rsid w:val="00EC2788"/>
    <w:rsid w:val="00EC2C3F"/>
    <w:rsid w:val="00EC3F42"/>
    <w:rsid w:val="00EC5CF1"/>
    <w:rsid w:val="00EC6EA7"/>
    <w:rsid w:val="00EC773B"/>
    <w:rsid w:val="00EC7B03"/>
    <w:rsid w:val="00EC7C44"/>
    <w:rsid w:val="00ED06E2"/>
    <w:rsid w:val="00ED07E6"/>
    <w:rsid w:val="00ED12CD"/>
    <w:rsid w:val="00ED1444"/>
    <w:rsid w:val="00ED1817"/>
    <w:rsid w:val="00ED1B74"/>
    <w:rsid w:val="00ED27FB"/>
    <w:rsid w:val="00ED339A"/>
    <w:rsid w:val="00ED35AD"/>
    <w:rsid w:val="00ED4448"/>
    <w:rsid w:val="00ED49CE"/>
    <w:rsid w:val="00ED49E0"/>
    <w:rsid w:val="00ED5F29"/>
    <w:rsid w:val="00ED6BCD"/>
    <w:rsid w:val="00ED6CF2"/>
    <w:rsid w:val="00ED74E8"/>
    <w:rsid w:val="00EE05E8"/>
    <w:rsid w:val="00EE09CF"/>
    <w:rsid w:val="00EE0FF7"/>
    <w:rsid w:val="00EE1F04"/>
    <w:rsid w:val="00EE2EC7"/>
    <w:rsid w:val="00EE3069"/>
    <w:rsid w:val="00EE3AAE"/>
    <w:rsid w:val="00EE49CE"/>
    <w:rsid w:val="00EE58E3"/>
    <w:rsid w:val="00EE5D58"/>
    <w:rsid w:val="00EE677E"/>
    <w:rsid w:val="00EE6854"/>
    <w:rsid w:val="00EE6C48"/>
    <w:rsid w:val="00EE7DCF"/>
    <w:rsid w:val="00EF039D"/>
    <w:rsid w:val="00EF03E7"/>
    <w:rsid w:val="00EF0A41"/>
    <w:rsid w:val="00EF15B9"/>
    <w:rsid w:val="00EF1732"/>
    <w:rsid w:val="00EF1FC4"/>
    <w:rsid w:val="00EF3157"/>
    <w:rsid w:val="00EF31F0"/>
    <w:rsid w:val="00EF3EDB"/>
    <w:rsid w:val="00EF4379"/>
    <w:rsid w:val="00EF469E"/>
    <w:rsid w:val="00EF47AC"/>
    <w:rsid w:val="00EF4F50"/>
    <w:rsid w:val="00EF500F"/>
    <w:rsid w:val="00EF591A"/>
    <w:rsid w:val="00EF7837"/>
    <w:rsid w:val="00F00B42"/>
    <w:rsid w:val="00F01EB7"/>
    <w:rsid w:val="00F021A2"/>
    <w:rsid w:val="00F034ED"/>
    <w:rsid w:val="00F0356B"/>
    <w:rsid w:val="00F04310"/>
    <w:rsid w:val="00F04535"/>
    <w:rsid w:val="00F04F1B"/>
    <w:rsid w:val="00F05980"/>
    <w:rsid w:val="00F05CE7"/>
    <w:rsid w:val="00F06790"/>
    <w:rsid w:val="00F075CD"/>
    <w:rsid w:val="00F0776B"/>
    <w:rsid w:val="00F07B8B"/>
    <w:rsid w:val="00F1031D"/>
    <w:rsid w:val="00F1089D"/>
    <w:rsid w:val="00F10C3E"/>
    <w:rsid w:val="00F1110F"/>
    <w:rsid w:val="00F112F4"/>
    <w:rsid w:val="00F11564"/>
    <w:rsid w:val="00F1196F"/>
    <w:rsid w:val="00F12FD6"/>
    <w:rsid w:val="00F13316"/>
    <w:rsid w:val="00F144DD"/>
    <w:rsid w:val="00F14676"/>
    <w:rsid w:val="00F14D72"/>
    <w:rsid w:val="00F14D78"/>
    <w:rsid w:val="00F1551D"/>
    <w:rsid w:val="00F15A66"/>
    <w:rsid w:val="00F15AF5"/>
    <w:rsid w:val="00F15CC4"/>
    <w:rsid w:val="00F16639"/>
    <w:rsid w:val="00F16FF7"/>
    <w:rsid w:val="00F17E61"/>
    <w:rsid w:val="00F17FCE"/>
    <w:rsid w:val="00F20D3F"/>
    <w:rsid w:val="00F21271"/>
    <w:rsid w:val="00F21938"/>
    <w:rsid w:val="00F21C2E"/>
    <w:rsid w:val="00F21D5D"/>
    <w:rsid w:val="00F21F93"/>
    <w:rsid w:val="00F22302"/>
    <w:rsid w:val="00F22591"/>
    <w:rsid w:val="00F22988"/>
    <w:rsid w:val="00F22AC1"/>
    <w:rsid w:val="00F22B35"/>
    <w:rsid w:val="00F22D41"/>
    <w:rsid w:val="00F22FEE"/>
    <w:rsid w:val="00F23A66"/>
    <w:rsid w:val="00F23F0D"/>
    <w:rsid w:val="00F23FDD"/>
    <w:rsid w:val="00F2461A"/>
    <w:rsid w:val="00F24B7E"/>
    <w:rsid w:val="00F24BF6"/>
    <w:rsid w:val="00F2549A"/>
    <w:rsid w:val="00F25FB3"/>
    <w:rsid w:val="00F2653F"/>
    <w:rsid w:val="00F266B8"/>
    <w:rsid w:val="00F267F3"/>
    <w:rsid w:val="00F26F6B"/>
    <w:rsid w:val="00F27204"/>
    <w:rsid w:val="00F27C90"/>
    <w:rsid w:val="00F27E99"/>
    <w:rsid w:val="00F30134"/>
    <w:rsid w:val="00F3030F"/>
    <w:rsid w:val="00F30878"/>
    <w:rsid w:val="00F3106B"/>
    <w:rsid w:val="00F31362"/>
    <w:rsid w:val="00F313A1"/>
    <w:rsid w:val="00F31AC8"/>
    <w:rsid w:val="00F339C3"/>
    <w:rsid w:val="00F33BF6"/>
    <w:rsid w:val="00F33CA6"/>
    <w:rsid w:val="00F3436B"/>
    <w:rsid w:val="00F35BE8"/>
    <w:rsid w:val="00F36954"/>
    <w:rsid w:val="00F36BD7"/>
    <w:rsid w:val="00F37728"/>
    <w:rsid w:val="00F40222"/>
    <w:rsid w:val="00F403F6"/>
    <w:rsid w:val="00F4088E"/>
    <w:rsid w:val="00F409F2"/>
    <w:rsid w:val="00F40A3F"/>
    <w:rsid w:val="00F4119D"/>
    <w:rsid w:val="00F414FE"/>
    <w:rsid w:val="00F41F7B"/>
    <w:rsid w:val="00F421CB"/>
    <w:rsid w:val="00F42795"/>
    <w:rsid w:val="00F42DDC"/>
    <w:rsid w:val="00F4461F"/>
    <w:rsid w:val="00F45283"/>
    <w:rsid w:val="00F4571D"/>
    <w:rsid w:val="00F46BF5"/>
    <w:rsid w:val="00F46FA0"/>
    <w:rsid w:val="00F47205"/>
    <w:rsid w:val="00F50E2D"/>
    <w:rsid w:val="00F5103C"/>
    <w:rsid w:val="00F5145D"/>
    <w:rsid w:val="00F51A62"/>
    <w:rsid w:val="00F522D7"/>
    <w:rsid w:val="00F52581"/>
    <w:rsid w:val="00F52746"/>
    <w:rsid w:val="00F529FF"/>
    <w:rsid w:val="00F52BCB"/>
    <w:rsid w:val="00F55073"/>
    <w:rsid w:val="00F5575A"/>
    <w:rsid w:val="00F55B94"/>
    <w:rsid w:val="00F55FE2"/>
    <w:rsid w:val="00F56886"/>
    <w:rsid w:val="00F56F88"/>
    <w:rsid w:val="00F573C8"/>
    <w:rsid w:val="00F5762D"/>
    <w:rsid w:val="00F6047D"/>
    <w:rsid w:val="00F60639"/>
    <w:rsid w:val="00F60CA3"/>
    <w:rsid w:val="00F612D2"/>
    <w:rsid w:val="00F62731"/>
    <w:rsid w:val="00F62808"/>
    <w:rsid w:val="00F62EB8"/>
    <w:rsid w:val="00F62EC0"/>
    <w:rsid w:val="00F63B99"/>
    <w:rsid w:val="00F63F56"/>
    <w:rsid w:val="00F6460C"/>
    <w:rsid w:val="00F651A8"/>
    <w:rsid w:val="00F6583C"/>
    <w:rsid w:val="00F65E20"/>
    <w:rsid w:val="00F6753A"/>
    <w:rsid w:val="00F67996"/>
    <w:rsid w:val="00F67D30"/>
    <w:rsid w:val="00F7022D"/>
    <w:rsid w:val="00F7049E"/>
    <w:rsid w:val="00F7082C"/>
    <w:rsid w:val="00F71559"/>
    <w:rsid w:val="00F71952"/>
    <w:rsid w:val="00F71C5D"/>
    <w:rsid w:val="00F722B3"/>
    <w:rsid w:val="00F72E18"/>
    <w:rsid w:val="00F72FB0"/>
    <w:rsid w:val="00F732D2"/>
    <w:rsid w:val="00F73AE2"/>
    <w:rsid w:val="00F74437"/>
    <w:rsid w:val="00F74816"/>
    <w:rsid w:val="00F75155"/>
    <w:rsid w:val="00F7561D"/>
    <w:rsid w:val="00F75CFE"/>
    <w:rsid w:val="00F775FD"/>
    <w:rsid w:val="00F77924"/>
    <w:rsid w:val="00F77981"/>
    <w:rsid w:val="00F80A53"/>
    <w:rsid w:val="00F80BE2"/>
    <w:rsid w:val="00F8195C"/>
    <w:rsid w:val="00F81ECB"/>
    <w:rsid w:val="00F822FB"/>
    <w:rsid w:val="00F82B03"/>
    <w:rsid w:val="00F82E90"/>
    <w:rsid w:val="00F83195"/>
    <w:rsid w:val="00F836C8"/>
    <w:rsid w:val="00F83814"/>
    <w:rsid w:val="00F83928"/>
    <w:rsid w:val="00F83C50"/>
    <w:rsid w:val="00F8479D"/>
    <w:rsid w:val="00F84A39"/>
    <w:rsid w:val="00F84A4C"/>
    <w:rsid w:val="00F85054"/>
    <w:rsid w:val="00F856BE"/>
    <w:rsid w:val="00F85B4E"/>
    <w:rsid w:val="00F85C99"/>
    <w:rsid w:val="00F867B1"/>
    <w:rsid w:val="00F876CF"/>
    <w:rsid w:val="00F90335"/>
    <w:rsid w:val="00F91037"/>
    <w:rsid w:val="00F923F8"/>
    <w:rsid w:val="00F927EB"/>
    <w:rsid w:val="00F9281A"/>
    <w:rsid w:val="00F932DC"/>
    <w:rsid w:val="00F9457D"/>
    <w:rsid w:val="00F95A56"/>
    <w:rsid w:val="00F96931"/>
    <w:rsid w:val="00F96D07"/>
    <w:rsid w:val="00F97045"/>
    <w:rsid w:val="00FA17A1"/>
    <w:rsid w:val="00FA2202"/>
    <w:rsid w:val="00FA2DD5"/>
    <w:rsid w:val="00FA31C6"/>
    <w:rsid w:val="00FA497E"/>
    <w:rsid w:val="00FA49E5"/>
    <w:rsid w:val="00FA4E0E"/>
    <w:rsid w:val="00FA4E61"/>
    <w:rsid w:val="00FA51AF"/>
    <w:rsid w:val="00FA67D8"/>
    <w:rsid w:val="00FA69CE"/>
    <w:rsid w:val="00FA77C5"/>
    <w:rsid w:val="00FA78F9"/>
    <w:rsid w:val="00FB06DD"/>
    <w:rsid w:val="00FB0D11"/>
    <w:rsid w:val="00FB12E1"/>
    <w:rsid w:val="00FB1339"/>
    <w:rsid w:val="00FB187A"/>
    <w:rsid w:val="00FB1ADF"/>
    <w:rsid w:val="00FB2877"/>
    <w:rsid w:val="00FB2DF9"/>
    <w:rsid w:val="00FB2EF8"/>
    <w:rsid w:val="00FB36E4"/>
    <w:rsid w:val="00FB396C"/>
    <w:rsid w:val="00FB3F44"/>
    <w:rsid w:val="00FB5792"/>
    <w:rsid w:val="00FB60CA"/>
    <w:rsid w:val="00FB68D6"/>
    <w:rsid w:val="00FB6DEC"/>
    <w:rsid w:val="00FB757D"/>
    <w:rsid w:val="00FB7B09"/>
    <w:rsid w:val="00FC073E"/>
    <w:rsid w:val="00FC0C51"/>
    <w:rsid w:val="00FC0FFF"/>
    <w:rsid w:val="00FC1348"/>
    <w:rsid w:val="00FC179A"/>
    <w:rsid w:val="00FC18A7"/>
    <w:rsid w:val="00FC1A94"/>
    <w:rsid w:val="00FC1F46"/>
    <w:rsid w:val="00FC360E"/>
    <w:rsid w:val="00FC3AC7"/>
    <w:rsid w:val="00FC443D"/>
    <w:rsid w:val="00FC48EF"/>
    <w:rsid w:val="00FC4F62"/>
    <w:rsid w:val="00FC5862"/>
    <w:rsid w:val="00FC6584"/>
    <w:rsid w:val="00FC78E4"/>
    <w:rsid w:val="00FD17D1"/>
    <w:rsid w:val="00FD1FD1"/>
    <w:rsid w:val="00FD3DC6"/>
    <w:rsid w:val="00FD54FE"/>
    <w:rsid w:val="00FD5D1F"/>
    <w:rsid w:val="00FD6C98"/>
    <w:rsid w:val="00FE001A"/>
    <w:rsid w:val="00FE01D2"/>
    <w:rsid w:val="00FE1940"/>
    <w:rsid w:val="00FE1A32"/>
    <w:rsid w:val="00FE22FC"/>
    <w:rsid w:val="00FE26FB"/>
    <w:rsid w:val="00FE2896"/>
    <w:rsid w:val="00FE2AA4"/>
    <w:rsid w:val="00FE5427"/>
    <w:rsid w:val="00FE5626"/>
    <w:rsid w:val="00FE5D6A"/>
    <w:rsid w:val="00FE5F5B"/>
    <w:rsid w:val="00FE75BE"/>
    <w:rsid w:val="00FE75D8"/>
    <w:rsid w:val="00FE78EF"/>
    <w:rsid w:val="00FE7CE4"/>
    <w:rsid w:val="00FF032B"/>
    <w:rsid w:val="00FF0727"/>
    <w:rsid w:val="00FF17C6"/>
    <w:rsid w:val="00FF1B96"/>
    <w:rsid w:val="00FF1DBD"/>
    <w:rsid w:val="00FF1E5E"/>
    <w:rsid w:val="00FF2598"/>
    <w:rsid w:val="00FF303F"/>
    <w:rsid w:val="00FF38E3"/>
    <w:rsid w:val="00FF3F5B"/>
    <w:rsid w:val="00FF4B4A"/>
    <w:rsid w:val="00FF6BBB"/>
    <w:rsid w:val="00FF6E6A"/>
    <w:rsid w:val="00FF758A"/>
    <w:rsid w:val="00FF79C9"/>
    <w:rsid w:val="00FF7C36"/>
    <w:rsid w:val="00FF7D3D"/>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089910-7B13-4CDD-BBDF-D2163968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9A"/>
    <w:pPr>
      <w:suppressAutoHyphens/>
    </w:pPr>
    <w:rPr>
      <w:rFonts w:ascii="Arial" w:hAnsi="Arial"/>
      <w:sz w:val="24"/>
      <w:szCs w:val="24"/>
      <w:lang w:val="en-GB" w:eastAsia="en-GB"/>
    </w:rPr>
  </w:style>
  <w:style w:type="paragraph" w:styleId="Heading1">
    <w:name w:val="heading 1"/>
    <w:basedOn w:val="Normal"/>
    <w:next w:val="Normal"/>
    <w:link w:val="Heading1Char"/>
    <w:qFormat/>
    <w:rsid w:val="00AC769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C769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C769A"/>
    <w:pPr>
      <w:keepNext/>
      <w:spacing w:before="240" w:after="60"/>
      <w:outlineLvl w:val="2"/>
    </w:pPr>
    <w:rPr>
      <w:rFonts w:cs="Arial"/>
      <w:b/>
      <w:bCs/>
      <w:sz w:val="26"/>
      <w:szCs w:val="26"/>
    </w:rPr>
  </w:style>
  <w:style w:type="paragraph" w:styleId="Heading4">
    <w:name w:val="heading 4"/>
    <w:basedOn w:val="Normal"/>
    <w:next w:val="Normal"/>
    <w:link w:val="Heading4Char"/>
    <w:qFormat/>
    <w:rsid w:val="00051970"/>
    <w:pPr>
      <w:keepNext/>
      <w:numPr>
        <w:ilvl w:val="3"/>
        <w:numId w:val="19"/>
      </w:numPr>
      <w:spacing w:after="240" w:line="360" w:lineRule="auto"/>
      <w:jc w:val="both"/>
      <w:outlineLvl w:val="3"/>
    </w:pPr>
    <w:rPr>
      <w:sz w:val="22"/>
    </w:rPr>
  </w:style>
  <w:style w:type="paragraph" w:styleId="Heading5">
    <w:name w:val="heading 5"/>
    <w:basedOn w:val="Normal"/>
    <w:next w:val="Normal"/>
    <w:link w:val="Heading5Char"/>
    <w:qFormat/>
    <w:rsid w:val="00051970"/>
    <w:pPr>
      <w:keepNext/>
      <w:numPr>
        <w:ilvl w:val="4"/>
        <w:numId w:val="19"/>
      </w:numPr>
      <w:spacing w:after="240" w:line="360" w:lineRule="auto"/>
      <w:jc w:val="both"/>
      <w:outlineLvl w:val="4"/>
    </w:pPr>
    <w:rPr>
      <w:sz w:val="22"/>
    </w:rPr>
  </w:style>
  <w:style w:type="paragraph" w:styleId="Heading6">
    <w:name w:val="heading 6"/>
    <w:basedOn w:val="Normal"/>
    <w:next w:val="Normal"/>
    <w:link w:val="Heading6Char"/>
    <w:qFormat/>
    <w:rsid w:val="00051970"/>
    <w:pPr>
      <w:keepNext/>
      <w:numPr>
        <w:ilvl w:val="5"/>
        <w:numId w:val="19"/>
      </w:numPr>
      <w:spacing w:after="240" w:line="360" w:lineRule="auto"/>
      <w:jc w:val="both"/>
      <w:outlineLvl w:val="5"/>
    </w:pPr>
    <w:rPr>
      <w:sz w:val="22"/>
    </w:rPr>
  </w:style>
  <w:style w:type="paragraph" w:styleId="Heading7">
    <w:name w:val="heading 7"/>
    <w:basedOn w:val="Normal"/>
    <w:next w:val="Normal"/>
    <w:link w:val="Heading7Char"/>
    <w:qFormat/>
    <w:rsid w:val="00051970"/>
    <w:pPr>
      <w:keepNext/>
      <w:numPr>
        <w:ilvl w:val="6"/>
        <w:numId w:val="19"/>
      </w:numPr>
      <w:spacing w:after="240" w:line="360" w:lineRule="auto"/>
      <w:jc w:val="both"/>
      <w:outlineLvl w:val="6"/>
    </w:pPr>
    <w:rPr>
      <w:sz w:val="22"/>
    </w:rPr>
  </w:style>
  <w:style w:type="paragraph" w:styleId="Heading8">
    <w:name w:val="heading 8"/>
    <w:basedOn w:val="Normal"/>
    <w:next w:val="Normal"/>
    <w:link w:val="Heading8Char"/>
    <w:qFormat/>
    <w:rsid w:val="00051970"/>
    <w:pPr>
      <w:keepNext/>
      <w:numPr>
        <w:ilvl w:val="7"/>
        <w:numId w:val="19"/>
      </w:numPr>
      <w:spacing w:after="240" w:line="360" w:lineRule="auto"/>
      <w:jc w:val="both"/>
      <w:outlineLvl w:val="7"/>
    </w:pPr>
    <w:rPr>
      <w:sz w:val="22"/>
    </w:rPr>
  </w:style>
  <w:style w:type="paragraph" w:styleId="Heading9">
    <w:name w:val="heading 9"/>
    <w:basedOn w:val="Normal"/>
    <w:next w:val="Normal"/>
    <w:link w:val="Heading9Char"/>
    <w:qFormat/>
    <w:rsid w:val="00051970"/>
    <w:pPr>
      <w:keepNext/>
      <w:numPr>
        <w:ilvl w:val="8"/>
        <w:numId w:val="19"/>
      </w:numPr>
      <w:tabs>
        <w:tab w:val="left" w:pos="4082"/>
      </w:tabs>
      <w:spacing w:after="240" w:line="360" w:lineRule="auto"/>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AC769A"/>
    <w:rPr>
      <w:rFonts w:cs="Times New Roman"/>
      <w:vertAlign w:val="superscript"/>
    </w:rPr>
  </w:style>
  <w:style w:type="paragraph" w:styleId="EndnoteText">
    <w:name w:val="endnote text"/>
    <w:basedOn w:val="Normal"/>
    <w:link w:val="EndnoteTextChar"/>
    <w:rsid w:val="00AC769A"/>
    <w:pPr>
      <w:tabs>
        <w:tab w:val="left" w:pos="340"/>
      </w:tabs>
      <w:spacing w:after="60"/>
      <w:ind w:left="340" w:hanging="340"/>
      <w:jc w:val="both"/>
    </w:pPr>
    <w:rPr>
      <w:sz w:val="20"/>
      <w:szCs w:val="20"/>
    </w:rPr>
  </w:style>
  <w:style w:type="character" w:customStyle="1" w:styleId="WWFilename">
    <w:name w:val="WW_Filename"/>
    <w:rsid w:val="00AC769A"/>
    <w:rPr>
      <w:rFonts w:cs="Times New Roman"/>
      <w:sz w:val="16"/>
    </w:rPr>
  </w:style>
  <w:style w:type="paragraph" w:styleId="Footer">
    <w:name w:val="footer"/>
    <w:basedOn w:val="Normal"/>
    <w:link w:val="FooterChar"/>
    <w:rsid w:val="00AC769A"/>
    <w:pPr>
      <w:tabs>
        <w:tab w:val="center" w:pos="4253"/>
        <w:tab w:val="right" w:pos="8505"/>
      </w:tabs>
      <w:jc w:val="both"/>
    </w:pPr>
  </w:style>
  <w:style w:type="character" w:styleId="FootnoteReference">
    <w:name w:val="footnote reference"/>
    <w:aliases w:val="4_G Char Char Char Char,4_G Char Char Char Char Char Char Char,Footnotes refss Char Char Char Char Char Char Char,ftref Char Char Char Char Char Char Char,BVI fnr Char Char Char Char Char Char Char"/>
    <w:link w:val="4GCharCharChar"/>
    <w:rsid w:val="00AC769A"/>
    <w:rPr>
      <w:rFonts w:cs="Times New Roman"/>
      <w:sz w:val="22"/>
      <w:vertAlign w:val="superscript"/>
    </w:rPr>
  </w:style>
  <w:style w:type="paragraph" w:styleId="FootnoteText">
    <w:name w:val="footnote text"/>
    <w:aliases w:val="5_G"/>
    <w:basedOn w:val="Normal"/>
    <w:link w:val="FootnoteTextChar"/>
    <w:uiPriority w:val="99"/>
    <w:rsid w:val="00AC769A"/>
    <w:pPr>
      <w:tabs>
        <w:tab w:val="left" w:pos="340"/>
      </w:tabs>
      <w:spacing w:after="60"/>
      <w:ind w:left="340" w:hanging="340"/>
      <w:jc w:val="both"/>
    </w:pPr>
    <w:rPr>
      <w:sz w:val="18"/>
      <w:szCs w:val="20"/>
    </w:rPr>
  </w:style>
  <w:style w:type="paragraph" w:styleId="Header">
    <w:name w:val="header"/>
    <w:basedOn w:val="Normal"/>
    <w:link w:val="HeaderChar"/>
    <w:rsid w:val="00AC769A"/>
    <w:pPr>
      <w:tabs>
        <w:tab w:val="center" w:pos="4253"/>
        <w:tab w:val="right" w:pos="8505"/>
      </w:tabs>
      <w:jc w:val="both"/>
    </w:pPr>
  </w:style>
  <w:style w:type="character" w:styleId="PageNumber">
    <w:name w:val="page number"/>
    <w:rsid w:val="00AC769A"/>
    <w:rPr>
      <w:rFonts w:cs="Times New Roman"/>
      <w:sz w:val="22"/>
    </w:rPr>
  </w:style>
  <w:style w:type="paragraph" w:styleId="TOC1">
    <w:name w:val="toc 1"/>
    <w:basedOn w:val="Normal"/>
    <w:next w:val="Normal"/>
    <w:autoRedefine/>
    <w:unhideWhenUsed/>
    <w:rsid w:val="00AC769A"/>
    <w:pPr>
      <w:tabs>
        <w:tab w:val="left" w:pos="567"/>
        <w:tab w:val="right" w:leader="dot" w:pos="8789"/>
      </w:tabs>
      <w:spacing w:before="120"/>
      <w:ind w:left="567" w:right="567" w:hanging="567"/>
    </w:pPr>
  </w:style>
  <w:style w:type="paragraph" w:styleId="TOC2">
    <w:name w:val="toc 2"/>
    <w:basedOn w:val="Normal"/>
    <w:next w:val="Normal"/>
    <w:autoRedefine/>
    <w:unhideWhenUsed/>
    <w:rsid w:val="00AC769A"/>
    <w:pPr>
      <w:tabs>
        <w:tab w:val="left" w:pos="1134"/>
        <w:tab w:val="right" w:leader="dot" w:pos="8789"/>
      </w:tabs>
      <w:spacing w:before="120"/>
      <w:ind w:left="1134" w:right="567" w:hanging="1134"/>
    </w:pPr>
  </w:style>
  <w:style w:type="paragraph" w:styleId="TOC3">
    <w:name w:val="toc 3"/>
    <w:basedOn w:val="Normal"/>
    <w:next w:val="Normal"/>
    <w:autoRedefine/>
    <w:unhideWhenUsed/>
    <w:rsid w:val="00AC769A"/>
    <w:pPr>
      <w:tabs>
        <w:tab w:val="left" w:pos="1701"/>
        <w:tab w:val="right" w:leader="dot" w:pos="8448"/>
      </w:tabs>
      <w:spacing w:before="120"/>
      <w:ind w:left="1701" w:right="680" w:hanging="1701"/>
    </w:pPr>
  </w:style>
  <w:style w:type="paragraph" w:styleId="TOC4">
    <w:name w:val="toc 4"/>
    <w:basedOn w:val="Normal"/>
    <w:next w:val="Normal"/>
    <w:autoRedefine/>
    <w:rsid w:val="00AC769A"/>
    <w:pPr>
      <w:tabs>
        <w:tab w:val="left" w:pos="2041"/>
        <w:tab w:val="right" w:leader="dot" w:pos="8448"/>
      </w:tabs>
      <w:spacing w:before="120"/>
      <w:jc w:val="both"/>
    </w:pPr>
  </w:style>
  <w:style w:type="paragraph" w:customStyle="1" w:styleId="WWList1">
    <w:name w:val="WW_List1"/>
    <w:basedOn w:val="WWHeading1"/>
    <w:rsid w:val="00AC769A"/>
    <w:pPr>
      <w:keepNext w:val="0"/>
      <w:spacing w:before="0"/>
    </w:pPr>
    <w:rPr>
      <w:b w:val="0"/>
    </w:rPr>
  </w:style>
  <w:style w:type="paragraph" w:customStyle="1" w:styleId="WWAnnexHead1">
    <w:name w:val="WW_AnnexHead1"/>
    <w:basedOn w:val="WWHead"/>
    <w:next w:val="WWAnnexList2"/>
    <w:rsid w:val="00AC769A"/>
    <w:pPr>
      <w:numPr>
        <w:numId w:val="6"/>
      </w:numPr>
      <w:spacing w:before="240"/>
      <w:outlineLvl w:val="0"/>
    </w:pPr>
  </w:style>
  <w:style w:type="paragraph" w:customStyle="1" w:styleId="WWAnnexHead2">
    <w:name w:val="WW_AnnexHead2"/>
    <w:basedOn w:val="WWHead"/>
    <w:next w:val="WWAnnexList3"/>
    <w:rsid w:val="00AC769A"/>
    <w:pPr>
      <w:numPr>
        <w:ilvl w:val="1"/>
        <w:numId w:val="6"/>
      </w:numPr>
      <w:tabs>
        <w:tab w:val="left" w:pos="3402"/>
        <w:tab w:val="left" w:pos="3969"/>
      </w:tabs>
      <w:outlineLvl w:val="1"/>
    </w:pPr>
  </w:style>
  <w:style w:type="paragraph" w:customStyle="1" w:styleId="WWAnnexHead3">
    <w:name w:val="WW_AnnexHead3"/>
    <w:basedOn w:val="WWHead"/>
    <w:next w:val="WWAnnexList4"/>
    <w:rsid w:val="00AC769A"/>
    <w:pPr>
      <w:numPr>
        <w:ilvl w:val="2"/>
        <w:numId w:val="6"/>
      </w:numPr>
      <w:tabs>
        <w:tab w:val="left" w:pos="3969"/>
        <w:tab w:val="left" w:pos="4536"/>
      </w:tabs>
      <w:outlineLvl w:val="2"/>
    </w:pPr>
  </w:style>
  <w:style w:type="paragraph" w:customStyle="1" w:styleId="WWAnnexHead4">
    <w:name w:val="WW_AnnexHead4"/>
    <w:basedOn w:val="WWHead"/>
    <w:next w:val="WWAnnexList5"/>
    <w:rsid w:val="00AC769A"/>
    <w:pPr>
      <w:numPr>
        <w:ilvl w:val="3"/>
        <w:numId w:val="6"/>
      </w:numPr>
      <w:outlineLvl w:val="3"/>
    </w:pPr>
  </w:style>
  <w:style w:type="paragraph" w:customStyle="1" w:styleId="WWAnnexHead5">
    <w:name w:val="WW_AnnexHead5"/>
    <w:basedOn w:val="WWHead"/>
    <w:next w:val="WWAnnexList6"/>
    <w:rsid w:val="00AC769A"/>
    <w:pPr>
      <w:numPr>
        <w:ilvl w:val="4"/>
        <w:numId w:val="6"/>
      </w:numPr>
      <w:outlineLvl w:val="4"/>
    </w:pPr>
  </w:style>
  <w:style w:type="paragraph" w:styleId="DocumentMap">
    <w:name w:val="Document Map"/>
    <w:basedOn w:val="Normal"/>
    <w:link w:val="DocumentMapChar"/>
    <w:rsid w:val="00AC769A"/>
    <w:pPr>
      <w:shd w:val="clear" w:color="auto" w:fill="000080"/>
    </w:pPr>
    <w:rPr>
      <w:rFonts w:ascii="Tahoma" w:hAnsi="Tahoma" w:cs="Tahoma"/>
      <w:sz w:val="20"/>
      <w:szCs w:val="20"/>
    </w:rPr>
  </w:style>
  <w:style w:type="paragraph" w:customStyle="1" w:styleId="WWList2">
    <w:name w:val="WW_List2"/>
    <w:basedOn w:val="WWHeading2"/>
    <w:rsid w:val="00AC769A"/>
    <w:pPr>
      <w:keepNext w:val="0"/>
    </w:pPr>
    <w:rPr>
      <w:b w:val="0"/>
    </w:rPr>
  </w:style>
  <w:style w:type="character" w:styleId="Hyperlink">
    <w:name w:val="Hyperlink"/>
    <w:rsid w:val="00AC769A"/>
    <w:rPr>
      <w:color w:val="0000FF"/>
      <w:u w:val="single"/>
    </w:rPr>
  </w:style>
  <w:style w:type="paragraph" w:customStyle="1" w:styleId="WWBodyText1">
    <w:name w:val="WW_BodyText1"/>
    <w:basedOn w:val="WWBodyText"/>
    <w:rsid w:val="00AC769A"/>
    <w:pPr>
      <w:ind w:left="567"/>
    </w:pPr>
  </w:style>
  <w:style w:type="paragraph" w:customStyle="1" w:styleId="WWBodyText10">
    <w:name w:val="WW_BodyText10"/>
    <w:basedOn w:val="WWBodyText"/>
    <w:rsid w:val="00AC769A"/>
    <w:pPr>
      <w:ind w:left="5670"/>
    </w:pPr>
  </w:style>
  <w:style w:type="paragraph" w:customStyle="1" w:styleId="WWBodyText2">
    <w:name w:val="WW_BodyText2"/>
    <w:basedOn w:val="WWBodyText"/>
    <w:rsid w:val="00AC769A"/>
    <w:pPr>
      <w:tabs>
        <w:tab w:val="left" w:pos="3402"/>
        <w:tab w:val="left" w:pos="3969"/>
      </w:tabs>
      <w:ind w:left="1134"/>
    </w:pPr>
  </w:style>
  <w:style w:type="paragraph" w:customStyle="1" w:styleId="WWBodyText3">
    <w:name w:val="WW_BodyText3"/>
    <w:basedOn w:val="WWBodyText"/>
    <w:rsid w:val="00AC769A"/>
    <w:pPr>
      <w:tabs>
        <w:tab w:val="left" w:pos="3969"/>
        <w:tab w:val="left" w:pos="4536"/>
      </w:tabs>
      <w:ind w:left="1701"/>
    </w:pPr>
  </w:style>
  <w:style w:type="paragraph" w:customStyle="1" w:styleId="WWBodyText4">
    <w:name w:val="WW_BodyText4"/>
    <w:basedOn w:val="WWBodyText"/>
    <w:rsid w:val="00AC769A"/>
    <w:pPr>
      <w:ind w:left="2268"/>
    </w:pPr>
  </w:style>
  <w:style w:type="paragraph" w:customStyle="1" w:styleId="WWBodyText5">
    <w:name w:val="WW_BodyText5"/>
    <w:basedOn w:val="WWBodyText"/>
    <w:rsid w:val="00AC769A"/>
    <w:pPr>
      <w:ind w:left="2835"/>
    </w:pPr>
  </w:style>
  <w:style w:type="paragraph" w:customStyle="1" w:styleId="WWBodyText6">
    <w:name w:val="WW_BodyText6"/>
    <w:basedOn w:val="WWBodyText"/>
    <w:rsid w:val="00AC769A"/>
    <w:pPr>
      <w:ind w:left="3402"/>
    </w:pPr>
  </w:style>
  <w:style w:type="paragraph" w:customStyle="1" w:styleId="WWBodyText7">
    <w:name w:val="WW_BodyText7"/>
    <w:basedOn w:val="WWBodyText"/>
    <w:rsid w:val="00AC769A"/>
    <w:pPr>
      <w:ind w:left="3969"/>
    </w:pPr>
  </w:style>
  <w:style w:type="paragraph" w:customStyle="1" w:styleId="WWBodyText8">
    <w:name w:val="WW_BodyText8"/>
    <w:basedOn w:val="WWBodyText"/>
    <w:rsid w:val="00AC769A"/>
    <w:pPr>
      <w:ind w:left="4536"/>
    </w:pPr>
  </w:style>
  <w:style w:type="paragraph" w:customStyle="1" w:styleId="WWBodyText9">
    <w:name w:val="WW_BodyText9"/>
    <w:basedOn w:val="WWBodyText"/>
    <w:rsid w:val="00AC769A"/>
    <w:pPr>
      <w:ind w:left="5103"/>
    </w:pPr>
  </w:style>
  <w:style w:type="paragraph" w:customStyle="1" w:styleId="WWHeading1">
    <w:name w:val="WW_Heading1"/>
    <w:basedOn w:val="WWHead"/>
    <w:next w:val="WWList2"/>
    <w:rsid w:val="00AC769A"/>
    <w:pPr>
      <w:numPr>
        <w:numId w:val="5"/>
      </w:numPr>
      <w:tabs>
        <w:tab w:val="clear" w:pos="709"/>
        <w:tab w:val="num" w:pos="567"/>
      </w:tabs>
      <w:spacing w:before="240"/>
      <w:ind w:left="567"/>
      <w:outlineLvl w:val="0"/>
    </w:pPr>
  </w:style>
  <w:style w:type="paragraph" w:customStyle="1" w:styleId="WWHeading2">
    <w:name w:val="WW_Heading2"/>
    <w:basedOn w:val="WWHead"/>
    <w:next w:val="WWList3"/>
    <w:rsid w:val="00AC769A"/>
    <w:pPr>
      <w:numPr>
        <w:ilvl w:val="1"/>
        <w:numId w:val="5"/>
      </w:numPr>
      <w:tabs>
        <w:tab w:val="left" w:pos="3402"/>
        <w:tab w:val="left" w:pos="3969"/>
      </w:tabs>
      <w:outlineLvl w:val="1"/>
    </w:pPr>
  </w:style>
  <w:style w:type="paragraph" w:customStyle="1" w:styleId="WWHeading3">
    <w:name w:val="WW_Heading3"/>
    <w:basedOn w:val="WWHead"/>
    <w:next w:val="WWList4"/>
    <w:rsid w:val="00AC769A"/>
    <w:pPr>
      <w:numPr>
        <w:ilvl w:val="2"/>
        <w:numId w:val="5"/>
      </w:numPr>
      <w:tabs>
        <w:tab w:val="left" w:pos="3969"/>
        <w:tab w:val="left" w:pos="4536"/>
      </w:tabs>
      <w:outlineLvl w:val="2"/>
    </w:pPr>
  </w:style>
  <w:style w:type="paragraph" w:customStyle="1" w:styleId="WWHeading4">
    <w:name w:val="WW_Heading4"/>
    <w:basedOn w:val="WWHead"/>
    <w:next w:val="WWList5"/>
    <w:rsid w:val="00AC769A"/>
    <w:pPr>
      <w:numPr>
        <w:ilvl w:val="3"/>
        <w:numId w:val="5"/>
      </w:numPr>
      <w:outlineLvl w:val="3"/>
    </w:pPr>
  </w:style>
  <w:style w:type="paragraph" w:customStyle="1" w:styleId="WWHeading5">
    <w:name w:val="WW_Heading5"/>
    <w:basedOn w:val="WWHead"/>
    <w:next w:val="WWList6"/>
    <w:rsid w:val="00AC769A"/>
    <w:pPr>
      <w:numPr>
        <w:ilvl w:val="4"/>
        <w:numId w:val="5"/>
      </w:numPr>
      <w:outlineLvl w:val="4"/>
    </w:pPr>
  </w:style>
  <w:style w:type="paragraph" w:customStyle="1" w:styleId="WWTitleCentre">
    <w:name w:val="WW_TitleCentre"/>
    <w:basedOn w:val="WWBodyText"/>
    <w:next w:val="WWBodyText"/>
    <w:rsid w:val="00AC769A"/>
    <w:pPr>
      <w:keepNext/>
      <w:jc w:val="center"/>
    </w:pPr>
    <w:rPr>
      <w:b/>
    </w:rPr>
  </w:style>
  <w:style w:type="paragraph" w:customStyle="1" w:styleId="WWList3">
    <w:name w:val="WW_List3"/>
    <w:basedOn w:val="WWHeading3"/>
    <w:rsid w:val="00AC769A"/>
    <w:pPr>
      <w:keepNext w:val="0"/>
    </w:pPr>
    <w:rPr>
      <w:b w:val="0"/>
    </w:rPr>
  </w:style>
  <w:style w:type="paragraph" w:customStyle="1" w:styleId="WWSectionAlpha">
    <w:name w:val="WW_SectionAlpha"/>
    <w:basedOn w:val="WWBodyText"/>
    <w:next w:val="WWBodyText"/>
    <w:rsid w:val="00AC769A"/>
    <w:pPr>
      <w:keepNext/>
      <w:numPr>
        <w:numId w:val="1"/>
      </w:numPr>
    </w:pPr>
    <w:rPr>
      <w:b/>
      <w:spacing w:val="2"/>
    </w:rPr>
  </w:style>
  <w:style w:type="paragraph" w:customStyle="1" w:styleId="WWRecital1">
    <w:name w:val="WW_Recital1"/>
    <w:basedOn w:val="WWBodyText"/>
    <w:rsid w:val="00AC769A"/>
    <w:pPr>
      <w:numPr>
        <w:numId w:val="4"/>
      </w:numPr>
      <w:outlineLvl w:val="0"/>
    </w:pPr>
  </w:style>
  <w:style w:type="paragraph" w:customStyle="1" w:styleId="WWList4">
    <w:name w:val="WW_List4"/>
    <w:basedOn w:val="WWHeading4"/>
    <w:rsid w:val="00AC769A"/>
    <w:pPr>
      <w:keepNext w:val="0"/>
    </w:pPr>
    <w:rPr>
      <w:b w:val="0"/>
    </w:rPr>
  </w:style>
  <w:style w:type="paragraph" w:customStyle="1" w:styleId="WWList5">
    <w:name w:val="WW_List5"/>
    <w:basedOn w:val="WWHeading5"/>
    <w:rsid w:val="00AC769A"/>
    <w:pPr>
      <w:keepNext w:val="0"/>
    </w:pPr>
    <w:rPr>
      <w:b w:val="0"/>
    </w:rPr>
  </w:style>
  <w:style w:type="table" w:styleId="TableGrid">
    <w:name w:val="Table Grid"/>
    <w:basedOn w:val="TableNormal"/>
    <w:rsid w:val="00AC769A"/>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C769A"/>
    <w:pPr>
      <w:keepNext/>
      <w:jc w:val="center"/>
    </w:pPr>
    <w:rPr>
      <w:rFonts w:cs="Arial"/>
      <w:b/>
      <w:bCs/>
      <w:caps/>
      <w:szCs w:val="32"/>
    </w:rPr>
  </w:style>
  <w:style w:type="character" w:styleId="CommentReference">
    <w:name w:val="annotation reference"/>
    <w:rsid w:val="00AC769A"/>
    <w:rPr>
      <w:rFonts w:cs="Times New Roman"/>
      <w:sz w:val="16"/>
      <w:szCs w:val="16"/>
    </w:rPr>
  </w:style>
  <w:style w:type="paragraph" w:styleId="CommentText">
    <w:name w:val="annotation text"/>
    <w:basedOn w:val="Normal"/>
    <w:link w:val="CommentTextChar"/>
    <w:rsid w:val="00AC769A"/>
    <w:rPr>
      <w:sz w:val="16"/>
      <w:szCs w:val="20"/>
    </w:rPr>
  </w:style>
  <w:style w:type="paragraph" w:styleId="CommentSubject">
    <w:name w:val="annotation subject"/>
    <w:basedOn w:val="CommentText"/>
    <w:next w:val="CommentText"/>
    <w:link w:val="CommentSubjectChar"/>
    <w:rsid w:val="00AC769A"/>
    <w:rPr>
      <w:b/>
      <w:bCs/>
    </w:rPr>
  </w:style>
  <w:style w:type="paragraph" w:styleId="BalloonText">
    <w:name w:val="Balloon Text"/>
    <w:basedOn w:val="Normal"/>
    <w:link w:val="BalloonTextChar"/>
    <w:rsid w:val="00AC769A"/>
    <w:rPr>
      <w:rFonts w:ascii="Tahoma" w:hAnsi="Tahoma" w:cs="Tahoma"/>
      <w:sz w:val="16"/>
      <w:szCs w:val="16"/>
    </w:rPr>
  </w:style>
  <w:style w:type="paragraph" w:customStyle="1" w:styleId="WWSection">
    <w:name w:val="WW_Section"/>
    <w:basedOn w:val="WWBodyText"/>
    <w:next w:val="WWBodyText"/>
    <w:rsid w:val="00AC769A"/>
    <w:pPr>
      <w:keepNext/>
    </w:pPr>
    <w:rPr>
      <w:b/>
    </w:rPr>
  </w:style>
  <w:style w:type="paragraph" w:customStyle="1" w:styleId="WWTramLines">
    <w:name w:val="WW_TramLines"/>
    <w:basedOn w:val="WWBodyText"/>
    <w:next w:val="WWBodyText"/>
    <w:rsid w:val="00AC769A"/>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AC769A"/>
    <w:pPr>
      <w:tabs>
        <w:tab w:val="right" w:pos="8789"/>
      </w:tabs>
    </w:pPr>
  </w:style>
  <w:style w:type="paragraph" w:customStyle="1" w:styleId="WWBodyText">
    <w:name w:val="WW_BodyText"/>
    <w:basedOn w:val="Normal"/>
    <w:rsid w:val="00AC769A"/>
    <w:pPr>
      <w:spacing w:after="240" w:line="480" w:lineRule="auto"/>
      <w:jc w:val="both"/>
    </w:pPr>
  </w:style>
  <w:style w:type="paragraph" w:customStyle="1" w:styleId="WWAddressee">
    <w:name w:val="WW_Addressee"/>
    <w:basedOn w:val="Normal"/>
    <w:next w:val="WWBodyText"/>
    <w:rsid w:val="00AC769A"/>
    <w:pPr>
      <w:suppressAutoHyphens w:val="0"/>
      <w:spacing w:before="480" w:after="480"/>
      <w:contextualSpacing/>
    </w:pPr>
    <w:rPr>
      <w:lang w:eastAsia="en-US"/>
    </w:rPr>
  </w:style>
  <w:style w:type="paragraph" w:customStyle="1" w:styleId="WWBox">
    <w:name w:val="WW_Box"/>
    <w:basedOn w:val="Normal"/>
    <w:next w:val="Normal"/>
    <w:rsid w:val="00AC769A"/>
    <w:pPr>
      <w:suppressAutoHyphens w:val="0"/>
      <w:spacing w:before="60" w:after="60"/>
    </w:pPr>
    <w:rPr>
      <w:sz w:val="20"/>
      <w:lang w:eastAsia="en-US"/>
    </w:rPr>
  </w:style>
  <w:style w:type="paragraph" w:customStyle="1" w:styleId="WWEnding">
    <w:name w:val="WW_Ending"/>
    <w:basedOn w:val="Normal"/>
    <w:next w:val="Normal"/>
    <w:rsid w:val="00AC769A"/>
    <w:pPr>
      <w:keepNext/>
      <w:suppressAutoHyphens w:val="0"/>
      <w:spacing w:before="360" w:after="720"/>
      <w:jc w:val="both"/>
    </w:pPr>
    <w:rPr>
      <w:bCs/>
      <w:szCs w:val="20"/>
      <w:lang w:eastAsia="en-US"/>
    </w:rPr>
  </w:style>
  <w:style w:type="paragraph" w:customStyle="1" w:styleId="WWSalutation">
    <w:name w:val="WW_Salutation"/>
    <w:basedOn w:val="Normal"/>
    <w:next w:val="Normal"/>
    <w:rsid w:val="00AC769A"/>
    <w:pPr>
      <w:suppressAutoHyphens w:val="0"/>
      <w:spacing w:before="480" w:after="480"/>
      <w:jc w:val="both"/>
    </w:pPr>
    <w:rPr>
      <w:lang w:eastAsia="en-US"/>
    </w:rPr>
  </w:style>
  <w:style w:type="paragraph" w:customStyle="1" w:styleId="WWSubject">
    <w:name w:val="WW_Subject"/>
    <w:basedOn w:val="Normal"/>
    <w:next w:val="Normal"/>
    <w:rsid w:val="00AC769A"/>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AC769A"/>
    <w:pPr>
      <w:jc w:val="left"/>
    </w:pPr>
  </w:style>
  <w:style w:type="paragraph" w:customStyle="1" w:styleId="WWBullet1">
    <w:name w:val="WW_Bullet1"/>
    <w:basedOn w:val="WWBodyText"/>
    <w:rsid w:val="00AC769A"/>
    <w:pPr>
      <w:numPr>
        <w:numId w:val="2"/>
      </w:numPr>
      <w:outlineLvl w:val="0"/>
    </w:pPr>
  </w:style>
  <w:style w:type="paragraph" w:customStyle="1" w:styleId="WWBullet2">
    <w:name w:val="WW_Bullet2"/>
    <w:basedOn w:val="WWBodyText"/>
    <w:rsid w:val="00AC769A"/>
    <w:pPr>
      <w:numPr>
        <w:ilvl w:val="1"/>
        <w:numId w:val="2"/>
      </w:numPr>
      <w:outlineLvl w:val="1"/>
    </w:pPr>
  </w:style>
  <w:style w:type="paragraph" w:customStyle="1" w:styleId="WWBullet3">
    <w:name w:val="WW_Bullet3"/>
    <w:basedOn w:val="WWBodyText"/>
    <w:rsid w:val="00AC769A"/>
    <w:pPr>
      <w:numPr>
        <w:ilvl w:val="2"/>
        <w:numId w:val="2"/>
      </w:numPr>
      <w:outlineLvl w:val="2"/>
    </w:pPr>
  </w:style>
  <w:style w:type="paragraph" w:customStyle="1" w:styleId="WWBullet4">
    <w:name w:val="WW_Bullet4"/>
    <w:basedOn w:val="WWBodyText"/>
    <w:rsid w:val="00AC769A"/>
    <w:pPr>
      <w:numPr>
        <w:ilvl w:val="3"/>
        <w:numId w:val="2"/>
      </w:numPr>
      <w:outlineLvl w:val="3"/>
    </w:pPr>
  </w:style>
  <w:style w:type="paragraph" w:customStyle="1" w:styleId="WWBullet5">
    <w:name w:val="WW_Bullet5"/>
    <w:basedOn w:val="WWBodyText"/>
    <w:rsid w:val="00AC769A"/>
    <w:pPr>
      <w:numPr>
        <w:ilvl w:val="4"/>
        <w:numId w:val="2"/>
      </w:numPr>
      <w:outlineLvl w:val="4"/>
    </w:pPr>
  </w:style>
  <w:style w:type="paragraph" w:customStyle="1" w:styleId="WWBullet6">
    <w:name w:val="WW_Bullet6"/>
    <w:basedOn w:val="WWBodyText"/>
    <w:rsid w:val="00AC769A"/>
    <w:pPr>
      <w:numPr>
        <w:ilvl w:val="5"/>
        <w:numId w:val="2"/>
      </w:numPr>
    </w:pPr>
  </w:style>
  <w:style w:type="paragraph" w:customStyle="1" w:styleId="WWTitleRight">
    <w:name w:val="WW_TitleRight"/>
    <w:basedOn w:val="WWTitleCentre"/>
    <w:next w:val="WWBodyText"/>
    <w:rsid w:val="00AC769A"/>
    <w:pPr>
      <w:jc w:val="right"/>
    </w:pPr>
  </w:style>
  <w:style w:type="paragraph" w:styleId="ListBullet">
    <w:name w:val="List Bullet"/>
    <w:basedOn w:val="Normal"/>
    <w:rsid w:val="00AC769A"/>
    <w:pPr>
      <w:numPr>
        <w:numId w:val="3"/>
      </w:numPr>
    </w:pPr>
  </w:style>
  <w:style w:type="paragraph" w:customStyle="1" w:styleId="WWAnnexList1">
    <w:name w:val="WW_AnnexList1"/>
    <w:basedOn w:val="WWAnnexHead1"/>
    <w:next w:val="WWBodyText"/>
    <w:rsid w:val="00AC769A"/>
    <w:pPr>
      <w:keepNext w:val="0"/>
      <w:spacing w:before="0"/>
    </w:pPr>
    <w:rPr>
      <w:b w:val="0"/>
    </w:rPr>
  </w:style>
  <w:style w:type="paragraph" w:customStyle="1" w:styleId="WWAnnexList2">
    <w:name w:val="WW_AnnexList2"/>
    <w:basedOn w:val="WWAnnexHead2"/>
    <w:rsid w:val="00AC769A"/>
    <w:pPr>
      <w:keepNext w:val="0"/>
    </w:pPr>
    <w:rPr>
      <w:b w:val="0"/>
    </w:rPr>
  </w:style>
  <w:style w:type="paragraph" w:customStyle="1" w:styleId="WWAnnexList3">
    <w:name w:val="WW_AnnexList3"/>
    <w:basedOn w:val="WWAnnexHead3"/>
    <w:rsid w:val="00AC769A"/>
    <w:pPr>
      <w:keepNext w:val="0"/>
    </w:pPr>
    <w:rPr>
      <w:b w:val="0"/>
    </w:rPr>
  </w:style>
  <w:style w:type="paragraph" w:customStyle="1" w:styleId="WWAnnexList4">
    <w:name w:val="WW_AnnexList4"/>
    <w:basedOn w:val="WWAnnexHead4"/>
    <w:rsid w:val="00AC769A"/>
    <w:pPr>
      <w:keepNext w:val="0"/>
    </w:pPr>
    <w:rPr>
      <w:b w:val="0"/>
    </w:rPr>
  </w:style>
  <w:style w:type="paragraph" w:customStyle="1" w:styleId="WWAnnexList5">
    <w:name w:val="WW_AnnexList5"/>
    <w:basedOn w:val="WWAnnexHead5"/>
    <w:rsid w:val="00AC769A"/>
    <w:pPr>
      <w:keepNext w:val="0"/>
    </w:pPr>
    <w:rPr>
      <w:b w:val="0"/>
    </w:rPr>
  </w:style>
  <w:style w:type="paragraph" w:customStyle="1" w:styleId="WWRecital2">
    <w:name w:val="WW_Recital2"/>
    <w:basedOn w:val="WWBodyText"/>
    <w:rsid w:val="00AC769A"/>
    <w:pPr>
      <w:numPr>
        <w:ilvl w:val="1"/>
        <w:numId w:val="4"/>
      </w:numPr>
      <w:outlineLvl w:val="1"/>
    </w:pPr>
  </w:style>
  <w:style w:type="paragraph" w:customStyle="1" w:styleId="WWRecital3">
    <w:name w:val="WW_Recital3"/>
    <w:basedOn w:val="WWBodyText"/>
    <w:rsid w:val="00AC769A"/>
    <w:pPr>
      <w:numPr>
        <w:ilvl w:val="2"/>
        <w:numId w:val="4"/>
      </w:numPr>
      <w:outlineLvl w:val="2"/>
    </w:pPr>
  </w:style>
  <w:style w:type="paragraph" w:customStyle="1" w:styleId="WWRecital4">
    <w:name w:val="WW_Recital4"/>
    <w:basedOn w:val="WWBodyText"/>
    <w:rsid w:val="00AC769A"/>
    <w:pPr>
      <w:numPr>
        <w:ilvl w:val="3"/>
        <w:numId w:val="4"/>
      </w:numPr>
      <w:outlineLvl w:val="3"/>
    </w:pPr>
  </w:style>
  <w:style w:type="paragraph" w:customStyle="1" w:styleId="WWRecital5">
    <w:name w:val="WW_Recital5"/>
    <w:basedOn w:val="WWBodyText"/>
    <w:rsid w:val="00AC769A"/>
    <w:pPr>
      <w:numPr>
        <w:ilvl w:val="4"/>
        <w:numId w:val="4"/>
      </w:numPr>
      <w:outlineLvl w:val="4"/>
    </w:pPr>
  </w:style>
  <w:style w:type="paragraph" w:customStyle="1" w:styleId="WWRecital6">
    <w:name w:val="WW_Recital6"/>
    <w:basedOn w:val="WWBodyText"/>
    <w:rsid w:val="00AC769A"/>
    <w:pPr>
      <w:numPr>
        <w:ilvl w:val="5"/>
        <w:numId w:val="4"/>
      </w:numPr>
      <w:outlineLvl w:val="5"/>
    </w:pPr>
  </w:style>
  <w:style w:type="paragraph" w:customStyle="1" w:styleId="WWHeading6">
    <w:name w:val="WW_Heading6"/>
    <w:basedOn w:val="WWHead"/>
    <w:next w:val="WWBodyText6"/>
    <w:rsid w:val="00AC769A"/>
    <w:pPr>
      <w:numPr>
        <w:ilvl w:val="5"/>
        <w:numId w:val="5"/>
      </w:numPr>
      <w:outlineLvl w:val="5"/>
    </w:pPr>
  </w:style>
  <w:style w:type="paragraph" w:customStyle="1" w:styleId="WWList6">
    <w:name w:val="WW_List6"/>
    <w:basedOn w:val="WWHeading6"/>
    <w:rsid w:val="00AC769A"/>
    <w:pPr>
      <w:keepNext w:val="0"/>
    </w:pPr>
    <w:rPr>
      <w:b w:val="0"/>
    </w:rPr>
  </w:style>
  <w:style w:type="paragraph" w:customStyle="1" w:styleId="WWAnnexHead6">
    <w:name w:val="WW_AnnexHead6"/>
    <w:basedOn w:val="WWHead"/>
    <w:next w:val="WWBodyText6"/>
    <w:rsid w:val="00AC769A"/>
    <w:pPr>
      <w:numPr>
        <w:ilvl w:val="5"/>
        <w:numId w:val="6"/>
      </w:numPr>
      <w:outlineLvl w:val="5"/>
    </w:pPr>
  </w:style>
  <w:style w:type="paragraph" w:customStyle="1" w:styleId="WWAnnexList6">
    <w:name w:val="WW_AnnexList6"/>
    <w:basedOn w:val="WWAnnexHead6"/>
    <w:next w:val="WWBodyText6"/>
    <w:rsid w:val="00AC769A"/>
    <w:pPr>
      <w:keepNext w:val="0"/>
    </w:pPr>
    <w:rPr>
      <w:b w:val="0"/>
    </w:rPr>
  </w:style>
  <w:style w:type="paragraph" w:customStyle="1" w:styleId="WWAppendNum">
    <w:name w:val="WW_AppendNum"/>
    <w:basedOn w:val="WWBodyText"/>
    <w:next w:val="WWBodyText"/>
    <w:rsid w:val="00AC769A"/>
    <w:pPr>
      <w:keepNext/>
      <w:jc w:val="right"/>
    </w:pPr>
    <w:rPr>
      <w:b/>
    </w:rPr>
  </w:style>
  <w:style w:type="paragraph" w:customStyle="1" w:styleId="WWHead">
    <w:name w:val="WW_Head"/>
    <w:basedOn w:val="WWBodyText"/>
    <w:rsid w:val="00AC769A"/>
    <w:pPr>
      <w:keepNext/>
    </w:pPr>
    <w:rPr>
      <w:b/>
    </w:rPr>
  </w:style>
  <w:style w:type="paragraph" w:customStyle="1" w:styleId="WWSimpleList1">
    <w:name w:val="WW_SimpleList1"/>
    <w:basedOn w:val="WWBodyText"/>
    <w:rsid w:val="00AC769A"/>
    <w:pPr>
      <w:numPr>
        <w:numId w:val="7"/>
      </w:numPr>
      <w:outlineLvl w:val="0"/>
    </w:pPr>
  </w:style>
  <w:style w:type="paragraph" w:customStyle="1" w:styleId="WWSimpleList2">
    <w:name w:val="WW_SimpleList2"/>
    <w:basedOn w:val="WWBodyText"/>
    <w:rsid w:val="00AC769A"/>
    <w:pPr>
      <w:numPr>
        <w:ilvl w:val="1"/>
        <w:numId w:val="7"/>
      </w:numPr>
      <w:outlineLvl w:val="1"/>
    </w:pPr>
  </w:style>
  <w:style w:type="paragraph" w:customStyle="1" w:styleId="WWSimpleList3">
    <w:name w:val="WW_SimpleList3"/>
    <w:basedOn w:val="WWBodyText"/>
    <w:rsid w:val="00AC769A"/>
    <w:pPr>
      <w:numPr>
        <w:ilvl w:val="2"/>
        <w:numId w:val="7"/>
      </w:numPr>
      <w:outlineLvl w:val="2"/>
    </w:pPr>
  </w:style>
  <w:style w:type="paragraph" w:customStyle="1" w:styleId="WWSimpleList4">
    <w:name w:val="WW_SimpleList4"/>
    <w:basedOn w:val="WWBodyText"/>
    <w:rsid w:val="00AC769A"/>
    <w:pPr>
      <w:numPr>
        <w:ilvl w:val="3"/>
        <w:numId w:val="7"/>
      </w:numPr>
      <w:outlineLvl w:val="3"/>
    </w:pPr>
  </w:style>
  <w:style w:type="paragraph" w:customStyle="1" w:styleId="WWSimpleList5">
    <w:name w:val="WW_SimpleList5"/>
    <w:basedOn w:val="WWBodyText"/>
    <w:rsid w:val="00AC769A"/>
    <w:pPr>
      <w:numPr>
        <w:ilvl w:val="4"/>
        <w:numId w:val="7"/>
      </w:numPr>
      <w:outlineLvl w:val="4"/>
    </w:pPr>
  </w:style>
  <w:style w:type="paragraph" w:customStyle="1" w:styleId="WWSimpleList6">
    <w:name w:val="WW_SimpleList6"/>
    <w:basedOn w:val="WWBodyText"/>
    <w:rsid w:val="00AC769A"/>
    <w:pPr>
      <w:numPr>
        <w:ilvl w:val="5"/>
        <w:numId w:val="7"/>
      </w:numPr>
      <w:outlineLvl w:val="5"/>
    </w:pPr>
  </w:style>
  <w:style w:type="paragraph" w:customStyle="1" w:styleId="WWTOCHead">
    <w:name w:val="WW_TOCHead"/>
    <w:basedOn w:val="WWTitleCentre"/>
    <w:next w:val="WWBodyText"/>
    <w:rsid w:val="00AC769A"/>
    <w:rPr>
      <w:caps/>
    </w:rPr>
  </w:style>
  <w:style w:type="paragraph" w:customStyle="1" w:styleId="WWAnnexeHead">
    <w:name w:val="WW_AnnexeHead"/>
    <w:basedOn w:val="WWBodyText"/>
    <w:rsid w:val="00AC769A"/>
    <w:pPr>
      <w:keepNext/>
      <w:jc w:val="center"/>
    </w:pPr>
    <w:rPr>
      <w:b/>
    </w:rPr>
  </w:style>
  <w:style w:type="paragraph" w:customStyle="1" w:styleId="WWAnnexeAlpha">
    <w:name w:val="WW_AnnexeAlpha"/>
    <w:basedOn w:val="WWAnnexeHead"/>
    <w:next w:val="WWAnnexeHead"/>
    <w:rsid w:val="00AC769A"/>
    <w:pPr>
      <w:numPr>
        <w:numId w:val="17"/>
      </w:numPr>
      <w:jc w:val="right"/>
      <w:outlineLvl w:val="0"/>
    </w:pPr>
  </w:style>
  <w:style w:type="paragraph" w:customStyle="1" w:styleId="WWInfo">
    <w:name w:val="WW_Info"/>
    <w:basedOn w:val="Normal"/>
    <w:next w:val="Normal"/>
    <w:qFormat/>
    <w:rsid w:val="00AC769A"/>
    <w:pPr>
      <w:spacing w:before="240" w:after="240"/>
      <w:jc w:val="both"/>
    </w:pPr>
    <w:rPr>
      <w:b/>
    </w:rPr>
  </w:style>
  <w:style w:type="paragraph" w:styleId="TOC9">
    <w:name w:val="toc 9"/>
    <w:basedOn w:val="Normal"/>
    <w:next w:val="Normal"/>
    <w:autoRedefine/>
    <w:unhideWhenUsed/>
    <w:rsid w:val="00AC769A"/>
    <w:pPr>
      <w:tabs>
        <w:tab w:val="right" w:leader="dot" w:pos="7314"/>
      </w:tabs>
    </w:pPr>
  </w:style>
  <w:style w:type="paragraph" w:customStyle="1" w:styleId="WWFirmEnding">
    <w:name w:val="WW_FirmEnding"/>
    <w:basedOn w:val="Normal"/>
    <w:next w:val="WWAuthorDetails"/>
    <w:qFormat/>
    <w:rsid w:val="00AC769A"/>
    <w:pPr>
      <w:keepNext/>
      <w:spacing w:after="60"/>
      <w:jc w:val="both"/>
    </w:pPr>
    <w:rPr>
      <w:b/>
    </w:rPr>
  </w:style>
  <w:style w:type="paragraph" w:customStyle="1" w:styleId="WWAuthorDetails">
    <w:name w:val="WW_AuthorDetails"/>
    <w:basedOn w:val="Normal"/>
    <w:qFormat/>
    <w:rsid w:val="00AC769A"/>
    <w:pPr>
      <w:keepNext/>
      <w:spacing w:after="60"/>
      <w:jc w:val="both"/>
    </w:pPr>
    <w:rPr>
      <w:sz w:val="17"/>
    </w:rPr>
  </w:style>
  <w:style w:type="character" w:customStyle="1" w:styleId="TitleChar">
    <w:name w:val="Title Char"/>
    <w:link w:val="Title"/>
    <w:rsid w:val="005954B0"/>
    <w:rPr>
      <w:rFonts w:ascii="Arial" w:hAnsi="Arial" w:cs="Arial"/>
      <w:b/>
      <w:bCs/>
      <w:caps/>
      <w:sz w:val="24"/>
      <w:szCs w:val="32"/>
    </w:rPr>
  </w:style>
  <w:style w:type="paragraph" w:customStyle="1" w:styleId="Lega">
    <w:name w:val="Lega"/>
    <w:basedOn w:val="Normal"/>
    <w:rsid w:val="00D50836"/>
    <w:rPr>
      <w:rFonts w:cs="Arial"/>
    </w:rPr>
  </w:style>
  <w:style w:type="character" w:customStyle="1" w:styleId="Filename">
    <w:name w:val="Filename"/>
    <w:rsid w:val="00CF1957"/>
    <w:rPr>
      <w:rFonts w:cs="Times New Roman"/>
      <w:sz w:val="13"/>
    </w:rPr>
  </w:style>
  <w:style w:type="character" w:customStyle="1" w:styleId="HeaderChar">
    <w:name w:val="Header Char"/>
    <w:link w:val="Header"/>
    <w:rsid w:val="00CF1957"/>
    <w:rPr>
      <w:rFonts w:ascii="Arial" w:hAnsi="Arial"/>
      <w:sz w:val="24"/>
      <w:szCs w:val="24"/>
    </w:rPr>
  </w:style>
  <w:style w:type="character" w:styleId="HTMLCode">
    <w:name w:val="HTML Code"/>
    <w:rsid w:val="00026BB6"/>
    <w:rPr>
      <w:rFonts w:ascii="Courier New" w:eastAsia="Times New Roman" w:hAnsi="Courier New" w:cs="Courier New"/>
      <w:sz w:val="20"/>
      <w:szCs w:val="20"/>
    </w:rPr>
  </w:style>
  <w:style w:type="character" w:customStyle="1" w:styleId="Heading4Char">
    <w:name w:val="Heading 4 Char"/>
    <w:link w:val="Heading4"/>
    <w:rsid w:val="00051970"/>
    <w:rPr>
      <w:rFonts w:ascii="Arial" w:hAnsi="Arial"/>
      <w:sz w:val="22"/>
      <w:szCs w:val="24"/>
    </w:rPr>
  </w:style>
  <w:style w:type="character" w:customStyle="1" w:styleId="Heading5Char">
    <w:name w:val="Heading 5 Char"/>
    <w:link w:val="Heading5"/>
    <w:rsid w:val="00051970"/>
    <w:rPr>
      <w:rFonts w:ascii="Arial" w:hAnsi="Arial"/>
      <w:sz w:val="22"/>
      <w:szCs w:val="24"/>
    </w:rPr>
  </w:style>
  <w:style w:type="character" w:customStyle="1" w:styleId="Heading6Char">
    <w:name w:val="Heading 6 Char"/>
    <w:link w:val="Heading6"/>
    <w:rsid w:val="00051970"/>
    <w:rPr>
      <w:rFonts w:ascii="Arial" w:hAnsi="Arial"/>
      <w:sz w:val="22"/>
      <w:szCs w:val="24"/>
    </w:rPr>
  </w:style>
  <w:style w:type="character" w:customStyle="1" w:styleId="Heading7Char">
    <w:name w:val="Heading 7 Char"/>
    <w:link w:val="Heading7"/>
    <w:rsid w:val="00051970"/>
    <w:rPr>
      <w:rFonts w:ascii="Arial" w:hAnsi="Arial"/>
      <w:sz w:val="22"/>
      <w:szCs w:val="24"/>
    </w:rPr>
  </w:style>
  <w:style w:type="character" w:customStyle="1" w:styleId="Heading8Char">
    <w:name w:val="Heading 8 Char"/>
    <w:link w:val="Heading8"/>
    <w:rsid w:val="00051970"/>
    <w:rPr>
      <w:rFonts w:ascii="Arial" w:hAnsi="Arial"/>
      <w:sz w:val="22"/>
      <w:szCs w:val="24"/>
    </w:rPr>
  </w:style>
  <w:style w:type="character" w:customStyle="1" w:styleId="Heading9Char">
    <w:name w:val="Heading 9 Char"/>
    <w:link w:val="Heading9"/>
    <w:rsid w:val="00051970"/>
    <w:rPr>
      <w:rFonts w:ascii="Arial" w:hAnsi="Arial"/>
      <w:sz w:val="22"/>
      <w:szCs w:val="24"/>
    </w:rPr>
  </w:style>
  <w:style w:type="paragraph" w:styleId="BodyText">
    <w:name w:val="Body Text"/>
    <w:basedOn w:val="Normal"/>
    <w:link w:val="BodyTextChar"/>
    <w:rsid w:val="0031172B"/>
    <w:pPr>
      <w:spacing w:after="240" w:line="360" w:lineRule="auto"/>
      <w:ind w:left="454"/>
      <w:jc w:val="both"/>
    </w:pPr>
  </w:style>
  <w:style w:type="character" w:customStyle="1" w:styleId="BodyTextChar">
    <w:name w:val="Body Text Char"/>
    <w:link w:val="BodyText"/>
    <w:rsid w:val="0031172B"/>
    <w:rPr>
      <w:rFonts w:ascii="Arial" w:hAnsi="Arial"/>
      <w:sz w:val="24"/>
      <w:szCs w:val="24"/>
    </w:rPr>
  </w:style>
  <w:style w:type="paragraph" w:customStyle="1" w:styleId="Citat">
    <w:name w:val="Citat"/>
    <w:basedOn w:val="WWBodyText"/>
    <w:rsid w:val="00763C6D"/>
    <w:rPr>
      <w:color w:val="006400"/>
      <w:szCs w:val="22"/>
    </w:rPr>
  </w:style>
  <w:style w:type="character" w:customStyle="1" w:styleId="Heading1Char">
    <w:name w:val="Heading 1 Char"/>
    <w:link w:val="Heading1"/>
    <w:rsid w:val="000A6D43"/>
    <w:rPr>
      <w:rFonts w:ascii="Arial" w:hAnsi="Arial" w:cs="Arial"/>
      <w:b/>
      <w:bCs/>
      <w:kern w:val="32"/>
      <w:sz w:val="32"/>
      <w:szCs w:val="32"/>
    </w:rPr>
  </w:style>
  <w:style w:type="character" w:customStyle="1" w:styleId="Heading2Char">
    <w:name w:val="Heading 2 Char"/>
    <w:link w:val="Heading2"/>
    <w:rsid w:val="000A6D43"/>
    <w:rPr>
      <w:rFonts w:ascii="Arial" w:hAnsi="Arial" w:cs="Arial"/>
      <w:b/>
      <w:bCs/>
      <w:i/>
      <w:iCs/>
      <w:sz w:val="28"/>
      <w:szCs w:val="28"/>
    </w:rPr>
  </w:style>
  <w:style w:type="character" w:customStyle="1" w:styleId="Heading3Char">
    <w:name w:val="Heading 3 Char"/>
    <w:link w:val="Heading3"/>
    <w:rsid w:val="000A6D43"/>
    <w:rPr>
      <w:rFonts w:ascii="Arial" w:hAnsi="Arial" w:cs="Arial"/>
      <w:b/>
      <w:bCs/>
      <w:sz w:val="26"/>
      <w:szCs w:val="26"/>
    </w:rPr>
  </w:style>
  <w:style w:type="character" w:customStyle="1" w:styleId="EndnoteTextChar">
    <w:name w:val="Endnote Text Char"/>
    <w:link w:val="EndnoteText"/>
    <w:rsid w:val="000A6D43"/>
    <w:rPr>
      <w:rFonts w:ascii="Arial" w:hAnsi="Arial"/>
    </w:rPr>
  </w:style>
  <w:style w:type="character" w:customStyle="1" w:styleId="FooterChar">
    <w:name w:val="Footer Char"/>
    <w:link w:val="Footer"/>
    <w:rsid w:val="000A6D43"/>
    <w:rPr>
      <w:rFonts w:ascii="Arial" w:hAnsi="Arial"/>
      <w:sz w:val="24"/>
      <w:szCs w:val="24"/>
    </w:rPr>
  </w:style>
  <w:style w:type="character" w:customStyle="1" w:styleId="FootnoteTextChar">
    <w:name w:val="Footnote Text Char"/>
    <w:aliases w:val="5_G Char"/>
    <w:link w:val="FootnoteText"/>
    <w:uiPriority w:val="99"/>
    <w:rsid w:val="000A6D43"/>
    <w:rPr>
      <w:rFonts w:ascii="Arial" w:hAnsi="Arial"/>
      <w:sz w:val="18"/>
    </w:rPr>
  </w:style>
  <w:style w:type="character" w:customStyle="1" w:styleId="DocumentMapChar">
    <w:name w:val="Document Map Char"/>
    <w:link w:val="DocumentMap"/>
    <w:rsid w:val="000A6D43"/>
    <w:rPr>
      <w:rFonts w:ascii="Tahoma" w:hAnsi="Tahoma" w:cs="Tahoma"/>
      <w:shd w:val="clear" w:color="auto" w:fill="000080"/>
    </w:rPr>
  </w:style>
  <w:style w:type="character" w:customStyle="1" w:styleId="CommentTextChar">
    <w:name w:val="Comment Text Char"/>
    <w:link w:val="CommentText"/>
    <w:rsid w:val="000A6D43"/>
    <w:rPr>
      <w:rFonts w:ascii="Arial" w:hAnsi="Arial"/>
      <w:sz w:val="16"/>
    </w:rPr>
  </w:style>
  <w:style w:type="character" w:customStyle="1" w:styleId="CommentSubjectChar">
    <w:name w:val="Comment Subject Char"/>
    <w:link w:val="CommentSubject"/>
    <w:rsid w:val="000A6D43"/>
    <w:rPr>
      <w:rFonts w:ascii="Arial" w:hAnsi="Arial"/>
      <w:b/>
      <w:bCs/>
      <w:sz w:val="16"/>
    </w:rPr>
  </w:style>
  <w:style w:type="character" w:customStyle="1" w:styleId="BalloonTextChar">
    <w:name w:val="Balloon Text Char"/>
    <w:link w:val="BalloonText"/>
    <w:rsid w:val="000A6D43"/>
    <w:rPr>
      <w:rFonts w:ascii="Tahoma" w:hAnsi="Tahoma" w:cs="Tahoma"/>
      <w:sz w:val="16"/>
      <w:szCs w:val="16"/>
    </w:rPr>
  </w:style>
  <w:style w:type="paragraph" w:styleId="ListParagraph">
    <w:name w:val="List Paragraph"/>
    <w:basedOn w:val="Normal"/>
    <w:uiPriority w:val="34"/>
    <w:qFormat/>
    <w:rsid w:val="000A6D43"/>
    <w:pPr>
      <w:suppressAutoHyphens w:val="0"/>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AC769A"/>
    <w:pPr>
      <w:spacing w:after="120"/>
      <w:ind w:left="283"/>
    </w:pPr>
  </w:style>
  <w:style w:type="character" w:customStyle="1" w:styleId="BodyTextIndentChar">
    <w:name w:val="Body Text Indent Char"/>
    <w:link w:val="BodyTextIndent"/>
    <w:rsid w:val="00AC769A"/>
    <w:rPr>
      <w:rFonts w:ascii="Arial" w:hAnsi="Arial"/>
      <w:sz w:val="24"/>
      <w:szCs w:val="24"/>
    </w:rPr>
  </w:style>
  <w:style w:type="paragraph" w:customStyle="1" w:styleId="4GCharCharChar">
    <w:name w:val="4_G Char Char Char"/>
    <w:aliases w:val="4_G Char Char Char Char Char Char,Footnotes refss Char Char Char Char Char Char,ftref Char Char Char Char Char Char,BVI fnr Char Char Char Char Char Char,BVI fnr Car Car Char Char Char Char Char Char"/>
    <w:basedOn w:val="Normal"/>
    <w:link w:val="FootnoteReference"/>
    <w:rsid w:val="00AC769A"/>
    <w:pPr>
      <w:suppressAutoHyphens w:val="0"/>
      <w:spacing w:after="160" w:line="240" w:lineRule="exact"/>
      <w:jc w:val="both"/>
    </w:pPr>
    <w:rPr>
      <w:rFonts w:ascii="Times New Roman" w:hAnsi="Times New Roman"/>
      <w:sz w:val="22"/>
      <w:szCs w:val="20"/>
      <w:vertAlign w:val="superscript"/>
    </w:rPr>
  </w:style>
  <w:style w:type="paragraph" w:styleId="NoSpacing">
    <w:name w:val="No Spacing"/>
    <w:uiPriority w:val="1"/>
    <w:qFormat/>
    <w:rsid w:val="00AC769A"/>
    <w:rPr>
      <w:rFonts w:ascii="Calibri" w:eastAsia="Calibri" w:hAnsi="Calibri"/>
      <w:sz w:val="22"/>
      <w:szCs w:val="22"/>
      <w:lang w:val="en-ZA"/>
    </w:rPr>
  </w:style>
  <w:style w:type="paragraph" w:customStyle="1" w:styleId="m2947016472367868146msolistparagraph">
    <w:name w:val="m_2947016472367868146msolistparagraph"/>
    <w:basedOn w:val="Normal"/>
    <w:rsid w:val="00AC769A"/>
    <w:pPr>
      <w:suppressAutoHyphens w:val="0"/>
      <w:spacing w:before="100" w:beforeAutospacing="1" w:after="100" w:afterAutospacing="1"/>
    </w:pPr>
    <w:rPr>
      <w:rFonts w:ascii="Times" w:eastAsia="Calibri" w:hAnsi="Times"/>
      <w:sz w:val="20"/>
      <w:szCs w:val="20"/>
      <w:lang w:val="en-US" w:eastAsia="en-US"/>
    </w:rPr>
  </w:style>
  <w:style w:type="character" w:customStyle="1" w:styleId="m2947016472367868146msofootnotereference">
    <w:name w:val="m_2947016472367868146msofootnotereference"/>
    <w:rsid w:val="00AC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1555">
      <w:bodyDiv w:val="1"/>
      <w:marLeft w:val="0"/>
      <w:marRight w:val="0"/>
      <w:marTop w:val="0"/>
      <w:marBottom w:val="0"/>
      <w:divBdr>
        <w:top w:val="none" w:sz="0" w:space="0" w:color="auto"/>
        <w:left w:val="none" w:sz="0" w:space="0" w:color="auto"/>
        <w:bottom w:val="none" w:sz="0" w:space="0" w:color="auto"/>
        <w:right w:val="none" w:sz="0" w:space="0" w:color="auto"/>
      </w:divBdr>
    </w:div>
    <w:div w:id="765152739">
      <w:bodyDiv w:val="1"/>
      <w:marLeft w:val="0"/>
      <w:marRight w:val="0"/>
      <w:marTop w:val="0"/>
      <w:marBottom w:val="0"/>
      <w:divBdr>
        <w:top w:val="none" w:sz="0" w:space="0" w:color="auto"/>
        <w:left w:val="none" w:sz="0" w:space="0" w:color="auto"/>
        <w:bottom w:val="none" w:sz="0" w:space="0" w:color="auto"/>
        <w:right w:val="none" w:sz="0" w:space="0" w:color="auto"/>
      </w:divBdr>
    </w:div>
    <w:div w:id="877623545">
      <w:bodyDiv w:val="1"/>
      <w:marLeft w:val="0"/>
      <w:marRight w:val="0"/>
      <w:marTop w:val="0"/>
      <w:marBottom w:val="0"/>
      <w:divBdr>
        <w:top w:val="none" w:sz="0" w:space="0" w:color="auto"/>
        <w:left w:val="none" w:sz="0" w:space="0" w:color="auto"/>
        <w:bottom w:val="none" w:sz="0" w:space="0" w:color="auto"/>
        <w:right w:val="none" w:sz="0" w:space="0" w:color="auto"/>
      </w:divBdr>
    </w:div>
    <w:div w:id="1024018572">
      <w:bodyDiv w:val="1"/>
      <w:marLeft w:val="0"/>
      <w:marRight w:val="0"/>
      <w:marTop w:val="0"/>
      <w:marBottom w:val="0"/>
      <w:divBdr>
        <w:top w:val="none" w:sz="0" w:space="0" w:color="auto"/>
        <w:left w:val="none" w:sz="0" w:space="0" w:color="auto"/>
        <w:bottom w:val="none" w:sz="0" w:space="0" w:color="auto"/>
        <w:right w:val="none" w:sz="0" w:space="0" w:color="auto"/>
      </w:divBdr>
    </w:div>
    <w:div w:id="1320420334">
      <w:bodyDiv w:val="1"/>
      <w:marLeft w:val="0"/>
      <w:marRight w:val="0"/>
      <w:marTop w:val="0"/>
      <w:marBottom w:val="0"/>
      <w:divBdr>
        <w:top w:val="none" w:sz="0" w:space="0" w:color="auto"/>
        <w:left w:val="none" w:sz="0" w:space="0" w:color="auto"/>
        <w:bottom w:val="none" w:sz="0" w:space="0" w:color="auto"/>
        <w:right w:val="none" w:sz="0" w:space="0" w:color="auto"/>
      </w:divBdr>
      <w:divsChild>
        <w:div w:id="84084458">
          <w:marLeft w:val="0"/>
          <w:marRight w:val="0"/>
          <w:marTop w:val="0"/>
          <w:marBottom w:val="0"/>
          <w:divBdr>
            <w:top w:val="none" w:sz="0" w:space="0" w:color="auto"/>
            <w:left w:val="none" w:sz="0" w:space="0" w:color="auto"/>
            <w:bottom w:val="none" w:sz="0" w:space="0" w:color="auto"/>
            <w:right w:val="none" w:sz="0" w:space="0" w:color="auto"/>
          </w:divBdr>
        </w:div>
      </w:divsChild>
    </w:div>
    <w:div w:id="1811678176">
      <w:bodyDiv w:val="1"/>
      <w:marLeft w:val="0"/>
      <w:marRight w:val="0"/>
      <w:marTop w:val="0"/>
      <w:marBottom w:val="0"/>
      <w:divBdr>
        <w:top w:val="none" w:sz="0" w:space="0" w:color="auto"/>
        <w:left w:val="none" w:sz="0" w:space="0" w:color="auto"/>
        <w:bottom w:val="none" w:sz="0" w:space="0" w:color="auto"/>
        <w:right w:val="none" w:sz="0" w:space="0" w:color="auto"/>
      </w:divBdr>
    </w:div>
    <w:div w:id="2021351087">
      <w:bodyDiv w:val="1"/>
      <w:marLeft w:val="0"/>
      <w:marRight w:val="0"/>
      <w:marTop w:val="0"/>
      <w:marBottom w:val="0"/>
      <w:divBdr>
        <w:top w:val="none" w:sz="0" w:space="0" w:color="auto"/>
        <w:left w:val="none" w:sz="0" w:space="0" w:color="auto"/>
        <w:bottom w:val="none" w:sz="0" w:space="0" w:color="auto"/>
        <w:right w:val="none" w:sz="0" w:space="0" w:color="auto"/>
      </w:divBdr>
    </w:div>
    <w:div w:id="21160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opil.ouplaw.com/view/10.1093/law:epil/9780199231690/law-9780199231690-e744" TargetMode="External"/><Relationship Id="rId13" Type="http://schemas.openxmlformats.org/officeDocument/2006/relationships/hyperlink" Target="https://ihl-databases.icrc.org/customary-ihl/eng/docs/v1_cha_chapter1_rule1" TargetMode="External"/><Relationship Id="rId3" Type="http://schemas.openxmlformats.org/officeDocument/2006/relationships/hyperlink" Target="https://au.int/sites/default/files/treaties/7779-sl-oau_convention_on_the_prevention_and_combating_of_terrorism_1.pdf" TargetMode="External"/><Relationship Id="rId7" Type="http://schemas.openxmlformats.org/officeDocument/2006/relationships/hyperlink" Target="http://www.un-documents.net/a29r3314.htm" TargetMode="External"/><Relationship Id="rId12" Type="http://schemas.openxmlformats.org/officeDocument/2006/relationships/hyperlink" Target="https://ihl-databases.icrc.org/customary-ihl/eng/docs/v1_cha_chapter1_rule1" TargetMode="External"/><Relationship Id="rId2" Type="http://schemas.openxmlformats.org/officeDocument/2006/relationships/hyperlink" Target="https://www.icrc.org/en/document/applicability-ihl-terrorism-and-counterterrorism" TargetMode="External"/><Relationship Id="rId16" Type="http://schemas.openxmlformats.org/officeDocument/2006/relationships/hyperlink" Target="https://ihl-databases.icrc.org/customary-ihl/eng/docs/v1_cha_chapter4_rule14" TargetMode="External"/><Relationship Id="rId1" Type="http://schemas.openxmlformats.org/officeDocument/2006/relationships/hyperlink" Target="https://www.icrc.org/en/document/applicability-ihl-terrorism-and-counterterrorism" TargetMode="External"/><Relationship Id="rId6" Type="http://schemas.openxmlformats.org/officeDocument/2006/relationships/hyperlink" Target="https://www.icrc.org/en/document/occupation" TargetMode="External"/><Relationship Id="rId11" Type="http://schemas.openxmlformats.org/officeDocument/2006/relationships/hyperlink" Target="https://ihl-databases.icrc.org/applic/ihl/ihl.nsf/States.xsp?xp_viewStates=XPages_NORMStatesParties&amp;xp_treatySelected=475" TargetMode="External"/><Relationship Id="rId5" Type="http://schemas.openxmlformats.org/officeDocument/2006/relationships/hyperlink" Target="https://treaties.un.org/pages/viewdetails.aspx?src=ind&amp;mtdsg_no=xviii-5&amp;chapter=18&amp;lang=en" TargetMode="External"/><Relationship Id="rId15" Type="http://schemas.openxmlformats.org/officeDocument/2006/relationships/hyperlink" Target="https://ihl-databases.icrc.org/customary-ihl/eng/docs/v1_cha_chapter4_rule14" TargetMode="External"/><Relationship Id="rId10" Type="http://schemas.openxmlformats.org/officeDocument/2006/relationships/hyperlink" Target="https://ihl-databases.icrc.org/applic/ihl/ihl.nsf/States.xsp?xp_viewStates=XPages_NORMStatesParties&amp;xp_treatySelected=475" TargetMode="External"/><Relationship Id="rId4" Type="http://schemas.openxmlformats.org/officeDocument/2006/relationships/hyperlink" Target="http://www.achpr.org/instruments/achpr/ratification/" TargetMode="External"/><Relationship Id="rId9" Type="http://schemas.openxmlformats.org/officeDocument/2006/relationships/hyperlink" Target="https://en.oxforddictionaries.com/definition/foreign" TargetMode="External"/><Relationship Id="rId14" Type="http://schemas.openxmlformats.org/officeDocument/2006/relationships/hyperlink" Target="https://ihl-databases.icrc.org/customary-ihl/eng/docs/v1_rul_rule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1AC4-B61F-41D9-AD22-778FF112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43</Pages>
  <Words>7915</Words>
  <Characters>45122</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LegalMaster.dot</vt:lpstr>
    </vt:vector>
  </TitlesOfParts>
  <Company>Navigate IT</Company>
  <LinksUpToDate>false</LinksUpToDate>
  <CharactersWithSpaces>52932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LegalMaster.dot</dc:title>
  <dc:creator>Webber Wentzel</dc:creator>
  <cp:keywords>LegalStyles</cp:keywords>
  <dc:description>Produced by XpressDox® version 3.10.2.0 on 2017-11-23 12:07:54 from template Notice of Application - Rule 10_amicus curiae.xdtpl</dc:description>
  <cp:lastModifiedBy>Suzgo Lungu</cp:lastModifiedBy>
  <cp:revision>2</cp:revision>
  <cp:lastPrinted>2013-01-22T07:39:00Z</cp:lastPrinted>
  <dcterms:created xsi:type="dcterms:W3CDTF">2017-11-24T08:29:00Z</dcterms:created>
  <dcterms:modified xsi:type="dcterms:W3CDTF">2017-11-24T08:29:00Z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LegalStyles</vt:lpwstr>
  </property>
  <property fmtid="{D5CDD505-2E9C-101B-9397-08002B2CF9AE}" pid="3" name="WWBDocNumber">
    <vt:i4>0</vt:i4>
  </property>
  <property fmtid="{D5CDD505-2E9C-101B-9397-08002B2CF9AE}" pid="4" name="WWBDocVersion">
    <vt:i4>0</vt:i4>
  </property>
  <property fmtid="{D5CDD505-2E9C-101B-9397-08002B2CF9AE}" pid="5" name="WWBDocAuthorExt">
    <vt:lpwstr>-</vt:lpwstr>
  </property>
  <property fmtid="{D5CDD505-2E9C-101B-9397-08002B2CF9AE}" pid="6" name="WWBDocDescription">
    <vt:lpwstr>-</vt:lpwstr>
  </property>
</Properties>
</file>